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6013" w14:textId="e8f6013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16. став 2. Закона о угоститељству („Службени гласник РС”, број 17/19),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трговине, туризма и телекомуникација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садржини и начину подношења пријаве за некатегорисани угоститељски објекат за смештај, некатегорисани објекат за смештај наутичког туризма, некатегорисани објекат за смештај ловног туризма и о садржини и начину вођења евиденције објеката за смештај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 xml:space="preserve">"Службени гласник РС", број 90 од 20. децембра 2019, </w:t>
      </w:r>
      <w:r>
        <w:rPr>
          <w:rFonts w:ascii="Verdana"/>
          <w:b w:val="false"/>
          <w:i w:val="false"/>
          <w:color w:val="000000"/>
          <w:sz w:val="22"/>
        </w:rPr>
        <w:t xml:space="preserve">87 од 19. јуна 2020 - </w:t>
      </w:r>
      <w:r>
        <w:rPr>
          <w:rFonts w:ascii="Verdana"/>
          <w:b w:val="false"/>
          <w:i w:val="false"/>
          <w:color w:val="008000"/>
          <w:sz w:val="22"/>
        </w:rPr>
        <w:t>др. правилник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2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Престао је да важи (види члан 19. Правилника - 87/2020-26)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Угоститељ који пружа услуге смештаја у некатегорисаном угоститељском објекту за смештај врсте хостел, преноћиште, коначиште, ботел, хан, конак, етно кућа, салаш, вила, кампиралиште, кампинг одмориште, кампинг стоп и др; у некатегорисаном угоститељском објекту за смештај наутичког туризма; у некатегорисаном објекту за смештај ловног туризма врсте ловачки дом, ловачка кућа и ловачка колиба, ради евидентирања, подноси пријаву јединици локалне самоуправе на чијој територији се објекат налази (у даљем тексту: пријава).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Податке из пријаве угоститељ уноси уредно и тачно.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Угоститељ подноси пријаву посебно за сваки објекат за смештај из става 1.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Угоститељ подноси пријаву у писаној форми, на другом трајном носачу записа или електронским путем, са потврдом пријема.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Садржина пријаве дата је у Прилогу 1, који је одштампан уз овај правилник и чини његов саставни део.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промене података из пријаве угоститељ подноси нову пријаву.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промене угоститеља из члана 2. став 1. овог правилника нови угоститељ пре почетка рада у том објекту подноси пријаву.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2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Престао је да важи (види члан 19. Правилника - 87/2020-26)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Престао је да важи ранији став 1. (види члан 19. Правилника - 87/2020-26)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Некатегорисани угоститељски објекат за смештај, некатегорисани објекат за смештај наутичког туризма и некатегорисани објекат за смештај ловног туризма из члана 2. став 1. овог правилника евидентира се код јединице локалне самоуправе на чијој територији се објекат налази.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Престао је да важи ранији став 3. (види члан 19. Правилника - 87/2020-26)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из става 2. овог члана садржана је у Прилогу 5, који је одштампан уз овај правилник и чини његов саставни део.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2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Престали су да важе ранији став 1. и 2. (види члан 19. Правилника - 87/2020-26)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Податке о угоститељском објекту за смештај из члана 5. став 2. овог правилника јединица локалне самоуправе уноси у евиденцију, на основу података из пријаве.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да пријава не садржи све прописане податке или су подаци нетачни надлежни орган јединице локалне самоуправе не уводи угоститељски објекат у евиденцију, до отклањања уочених недостатака.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да се пријава односи на угоститељски објекат за смештај који није у функцији или не постоји, надлежни орган јединице локалне самоуправе не уводи угоститељски објекат у евиденцију, до испуњења услова.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из ст. 1. и 2. овог члана надлежни орган јединице локалне самоуправе без одлагања о томе обавештава угоститеља.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Чл. 8 до 10.</w:t>
      </w:r>
    </w:p>
    <w:p>
      <w:pPr>
        <w:spacing w:after="12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Престали су да важе (види члан 19. Правилника - 87/2020-26)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110-00-110/2019-08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12. децембрa 2019.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Расим Љајић,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Прилог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НАПОМЕНА ИЗДАВАЧА: Прилози 1, 2, 3 и 4. престали су да  важе даном ступања на снагу Правилника о начину уношења, рада, вођења и коришћења централног информационог система и његовој садржини и врсти података ("Службени гласник РС", број 87/2020) односно 27. јуна 2020. године (види члан 19. Правилника - 87/2020-26).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8000"/>
          <w:sz w:val="22"/>
        </w:rPr>
        <w:t>Прилог 5 -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hyperlink r:id="rId4">
        <w:r>
          <w:rPr>
            <w:rStyle w:val="Hyperlink"/>
            <w:rFonts w:ascii="Verdana"/>
            <w:b w:val="false"/>
            <w:i w:val="false"/>
            <w:color w:val="008000"/>
            <w:sz w:val="22"/>
          </w:rPr>
          <w:t>Евиденција јединице локалне самоуправе за некатегорисани објекат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Relationship TargetMode="External" Target="http://www.pravno-informacioni-sistem.rs/SlGlasnikPortal/prilozi/prilog5.html&amp;doctype=reg&amp;x-filename=true&amp;regactid=430575" Type="http://schemas.openxmlformats.org/officeDocument/2006/relationships/hyperlink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