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основу члана 16. став 1. Закона о угоститељству („Службени гласник РС”, број 17/19),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Mинистар трговине, туризма и телекомуникација, уз сагласност министра унутрашњих послова, доноси</w:t>
      </w:r>
    </w:p>
    <w:p w:rsidR="00980E1A" w:rsidRDefault="00980E1A" w:rsidP="00980E1A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ПРАВИЛНИК</w:t>
      </w:r>
    </w:p>
    <w:p w:rsidR="00980E1A" w:rsidRDefault="00980E1A" w:rsidP="00980E1A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о начину уношења, рада, вођења и коришћења централног информационог система и његовој садржини и врсти података</w:t>
      </w:r>
    </w:p>
    <w:p w:rsidR="00980E1A" w:rsidRDefault="00980E1A" w:rsidP="00980E1A">
      <w:pPr>
        <w:pStyle w:val="centar"/>
        <w:shd w:val="clear" w:color="auto" w:fill="FFFFFF"/>
        <w:spacing w:before="225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"Службени гласник РС", број 87 од 19. јуна 2020.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Овим правилником прописујe се начин уношења, рада, вођења и коришћења централног информационог система као и његова садржина и врста података.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2.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Поједини изрази употребљени у овом правилнику имају следеће значење: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ЈЛС </w:t>
      </w:r>
      <w:r>
        <w:rPr>
          <w:rFonts w:ascii="Verdana" w:hAnsi="Verdana"/>
          <w:color w:val="333333"/>
          <w:sz w:val="18"/>
          <w:szCs w:val="18"/>
        </w:rPr>
        <w:t>је јединица локалне самоуправе;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кориснички налог </w:t>
      </w:r>
      <w:r>
        <w:rPr>
          <w:rFonts w:ascii="Verdana" w:hAnsi="Verdana"/>
          <w:color w:val="333333"/>
          <w:sz w:val="18"/>
          <w:szCs w:val="18"/>
        </w:rPr>
        <w:t>je корисничко име и лозинка на основу којих се врши аутентификација, односно провера идентитета и ауторизација за приступ централнoм информационoм систему;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ЛТО </w:t>
      </w:r>
      <w:r>
        <w:rPr>
          <w:rFonts w:ascii="Verdana" w:hAnsi="Verdana"/>
          <w:color w:val="333333"/>
          <w:sz w:val="18"/>
          <w:szCs w:val="18"/>
        </w:rPr>
        <w:t>је туристичка организација јединице локалне самоуправе, као и постојећа јавна служба или привредно друштво, односно правно лице које је основано за обављање делатности у области туризма;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Министарство </w:t>
      </w:r>
      <w:r>
        <w:rPr>
          <w:rFonts w:ascii="Verdana" w:hAnsi="Verdana"/>
          <w:color w:val="333333"/>
          <w:sz w:val="18"/>
          <w:szCs w:val="18"/>
        </w:rPr>
        <w:t>је министарство надлежно за послове туризма и угоститељства;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5)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МУП </w:t>
      </w:r>
      <w:r>
        <w:rPr>
          <w:rFonts w:ascii="Verdana" w:hAnsi="Verdana"/>
          <w:color w:val="333333"/>
          <w:sz w:val="18"/>
          <w:szCs w:val="18"/>
        </w:rPr>
        <w:t>је министарство надлежно за унутрашње послове – организациона јединица која обавља послове контроле кретања и боравка странаца;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6)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овлашћени инспектор </w:t>
      </w:r>
      <w:r>
        <w:rPr>
          <w:rFonts w:ascii="Verdana" w:hAnsi="Verdana"/>
          <w:color w:val="333333"/>
          <w:sz w:val="18"/>
          <w:szCs w:val="18"/>
        </w:rPr>
        <w:t>је инспектор преко кога ЈЛС врши инспекцијски надзор над применом закона којим се уређује угоститељство, у складу са законом;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7)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орган за пореску администрацију </w:t>
      </w:r>
      <w:r>
        <w:rPr>
          <w:rFonts w:ascii="Verdana" w:hAnsi="Verdana"/>
          <w:color w:val="333333"/>
          <w:sz w:val="18"/>
          <w:szCs w:val="18"/>
        </w:rPr>
        <w:t>је орган ЈЛС, који обавља послове утврђивања, контролe и наплатe јавних прихода и врши обрачун, контролу и наплату годишњег износа боравишне таксе угоститељу, који као физичко лице обавља угоститељску делатност;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8)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орган за финансије </w:t>
      </w:r>
      <w:r>
        <w:rPr>
          <w:rFonts w:ascii="Verdana" w:hAnsi="Verdana"/>
          <w:color w:val="333333"/>
          <w:sz w:val="18"/>
          <w:szCs w:val="18"/>
        </w:rPr>
        <w:t>је орган ЈЛС, који обавља послове контроле и наплате јавних прихода од боравишне таксе, која је уплаћена од стране привредног друштва, другог правног лица или предузетника, који обавља угоститељску делатност;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9)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пореска управа </w:t>
      </w:r>
      <w:r>
        <w:rPr>
          <w:rFonts w:ascii="Verdana" w:hAnsi="Verdana"/>
          <w:color w:val="333333"/>
          <w:sz w:val="18"/>
          <w:szCs w:val="18"/>
        </w:rPr>
        <w:t>је орган који обавља послове обрачуна, контроле и наплате годишњег износа пореза угоститељу који као физичко лице обавља угоститељску делатност, у складу са законом;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10)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РЗС </w:t>
      </w:r>
      <w:r>
        <w:rPr>
          <w:rFonts w:ascii="Verdana" w:hAnsi="Verdana"/>
          <w:color w:val="333333"/>
          <w:sz w:val="18"/>
          <w:szCs w:val="18"/>
        </w:rPr>
        <w:t>је Републички завод за статистику;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11)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ТОС </w:t>
      </w:r>
      <w:r>
        <w:rPr>
          <w:rFonts w:ascii="Verdana" w:hAnsi="Verdana"/>
          <w:color w:val="333333"/>
          <w:sz w:val="18"/>
          <w:szCs w:val="18"/>
        </w:rPr>
        <w:t>је Туристичка организација Србије;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12)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туристички инспектор </w:t>
      </w:r>
      <w:r>
        <w:rPr>
          <w:rFonts w:ascii="Verdana" w:hAnsi="Verdana"/>
          <w:color w:val="333333"/>
          <w:sz w:val="18"/>
          <w:szCs w:val="18"/>
        </w:rPr>
        <w:t>је инспектор преко кога Министарство врши инспекцијски надзор над применом закона којим се уређује угоститељство, у складу са законом;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13)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угоститељ </w:t>
      </w:r>
      <w:r>
        <w:rPr>
          <w:rFonts w:ascii="Verdana" w:hAnsi="Verdana"/>
          <w:color w:val="333333"/>
          <w:sz w:val="18"/>
          <w:szCs w:val="18"/>
        </w:rPr>
        <w:t>је привредно друштво, друго правно лице, предузетник и физичко лице које обавља угоститељску делатност под условима прописаним законом којим се уређује угоститељство;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14) </w:t>
      </w:r>
      <w:r>
        <w:rPr>
          <w:rStyle w:val="italik"/>
          <w:rFonts w:ascii="Verdana" w:hAnsi="Verdana"/>
          <w:i/>
          <w:iCs/>
          <w:color w:val="333333"/>
          <w:sz w:val="18"/>
          <w:szCs w:val="18"/>
        </w:rPr>
        <w:t>централни информациони систем </w:t>
      </w:r>
      <w:r>
        <w:rPr>
          <w:rFonts w:ascii="Verdana" w:hAnsi="Verdana"/>
          <w:color w:val="333333"/>
          <w:sz w:val="18"/>
          <w:szCs w:val="18"/>
        </w:rPr>
        <w:t>у области угоститељства и туризма (Е-туриста) је јединствен и централизован електронски информациони систем, који садржи све релевантне податке о пружаоцима услуге смештаја и објектима за смештај, преко кога се врши њихова евиденција и уносе други подаци проистекли из обављања угоститељске, наутичке и ловнотуристичке, односно туристичке делатности или услуга у туризму (у даљем тексту: ЦИС).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3.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ЦИС се функционално организује по следећим тематским целинама: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 евиденција угоститеља;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 евиденција угоститељских објеката за смештај;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3) подаци о корисницима услуге смештаја;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4) категоризација угоститељских објеката за смештај;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5) боравишна такса;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6) извештаји и аналитика.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Евиденцију угоститеља из става 1. тачка 1) овог члана чине основни, адресни и контакт подаци седишта, огранка, односно издвојеног места угоститеља, као и основни подаци и контакт подаци одговорног лица, а могу се уносити и подаци о заступнику, као и други релевантни подаци.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Евиденцију угоститељских објеката за смештај из става 1. тачка 2) овог члана чине подаци o угоститељскoм објекту, и то о: врсти угоститељскoг објекта; адреси и контакту; просторној целини на којој се угоститељски објекат налази; додатним садржајима; структури смештајних јединица, као и други релевантни подаци.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Подаци о корисницима услуге смештаја из става 1. тачка 3) овог члана садрже: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 за домаће држављане: име и презиме; дан, месец и годину рођења, адресу становања, врсту пружене услуге, податке о смештајној јединици, датум и час доласка и одласка, начин и разлог доласка, као и друге релевантне податке;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 за стране држављане: име и презиме; дан, месец и годину рођења, држављанство, врсту, број и датум издавања стране путне исправе, датум и место уласка у Републику Србију, датум до ког је одобрен боравак у Републици Србији, врсту пружене услуге, податке о смештајној јединици, датум и час доласка и одласка, начин и разлог доласка, као и друге релевантне податке.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 корисника услуге смештаја из става 4. тачка 2) овог члана ЦИС генерише потврду о боравку, која се оверава од стране угоститеља и корисника услуге.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 корисника услуге смештаја из става 4. тачка 1) овог члана, на његов захтев, ЦИС генерише потврду о боравку, која се оверава од стране угоститеља и корисника услуге.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Извештавање и аналитика из става 1. тачка 6) овог члана обухвата активности које се односе на генерисање извештаја о угоститељима, угоститељским објектима, категоризацији угоститељских објеката за смештај, туристичком промету и његовој структури, смештајним капацитетима угоститељских објеката, корисницима услуге смештаја, боравишној такси и др.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4.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Преко ЦИС-а се уносе подаци из члана 3. ст. 2. и 3. овог правилника за категорисане угоститељске објекте, врсте хотел и подврсте хотела, мотел, туристичко насеље и подврста туристичког насеља, пансион, камп, ловачка вила и марина.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Преко ЦИС-а се уносе подаци из члана 3. ст. 2. и 3. овог правилника за здравствене установе које пружају услуге својим корисницима у објектима у којима се организује боравак и пружају услуге превенције, лечења и рехабилитације и које пружају услуге смештаја, припремања и услуживања хране, пића и напитака трећим лицима, на начин прописан законом којим се уређује угоститељство.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5.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Преко ЦИС-а се уносе подаци из члана 3. ст. 2. и 3. овог правилника за категорисане угоститељске објекте за смештај врсте кућа, апартман, соба и сеоско туристичко домаћинство, за ЈЛС на чијој територији се објекат налази.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 објекте из става 1. овог члана, у којима угоститељску делатност обавља физичко лице, уносе се подаци о броју индивидуалних лежаја, односно камп парцела, до максималних капацитета, прописаних законом којим се уређује угоститељство.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Преко ЦИС-а се уносе подаци из члана 3. ст. 2. и 3. овог правилника за некатегорисани угоститељски објекат за смештај, некатегорисани објекат за смештај наутичког туризма и некатегорисани објекат за смештај ловног туризма, за ЈЛС на чијој територији се објекат налази.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Објекти из става 3. овог члана су угоститељски објекти врсте хостел, преноћиште, коначиште, ботел, хан, конак, етно кућа, салаш, вила, кампиралиште, кампинг одмориште, кампинг стоп; некатегорисани угоститељски објекти за смештај наутичког туризма; некатегорисани објекти за смештај ловног туризма врсте ловачки дом, ловачка кућа и ловачка колиба, као и други објекти за пружање услуга смештаја у складу са законом којим се уређује угоститељство.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6.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Податке из члана 3. став 4. овог правилника угоститељ уноси преко ЦИС-а.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Подаци из члана 3. став 4. овог правилника уносе се ажурно, уредно и тачно, непосредно по пријему, односно одјави корисника услуга.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Изузетно од става 2. овог члана, ако угоститељ поседује сопствени софтвер за унос података о корисницима услуге смештаја, који је повезан са ЦИС-ом, унос података из члана 3. став 4. овог правилника врши се два пута дневно у интервалима од 10 до 14 часова и од 22 до 02 часа.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7.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Захтев за категоризацију угоститељских објеката из члана 4. став 1. и члана 5. став 1. овог правилника подноси се преко ЦИС-а као скениран документ, потписан од стране угоститеља.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Уз захтев из става 1. овог члана преко ЦИС-а се као скениран документ прилаже доказ о уплатама републичких административних такси, као и друга прописана документација, која чини саставни део захтева.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Уз захтев из става 1. овог члана подноси се изјава о испуњености минимално-техничких услова за уређење и опремање угоститељских објеката за смештај, изјава о испуњености стандарда за категорију, изјава о испуњености санитарно-хигијенских услова, као и документ са бројем и структуром смештајних јединица.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Изјаве и документ из става 3. овог члана попуњавају се директним уносом података у ЦИС и чине саставни део захтева.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8.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 основу података о дужини боравка корисника услуга смештаја, о праву на умањење или ослобађање од плаћања боравишне таксе, преко ЦИС-а се врши укупан обрачун задужења боравишне таксе сваког првог у месецу за претходни месец.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Потврђивање извршене уплате обрачунатог задужења боравишне таксе из става 1. овог члана врши се преко ЦИС-а.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Изузетно од ст. 1. и 2. овог члана, обрачун и потврђивање извршене уплате боравишне таксе не врши се за угоститеља који као физичко лице пружа услуге смештаја у објектима врсте кућа, апартман, соба и сеоско туристичко домаћинство.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Висина боравишне таксе утврђена одлуком ЈЛС, за границе територије ЈЛС, уноси се у ЦИС.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Висина боравишне таксе из става 4. овог члана уноси се у зависности од категорије туристичког места или у различитој висини по деловима ЈЛС, у зависности од изграђености комуналне, саобраћајне и туристичке инфраструктуре.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9.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Министарство има приступ свим функционалностима ЦИС-а и унетим подацима из члана 3. овог правилника.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свим функционалностима ЦИС-а и подацима из става 1. овог члана има једно или више лица (у даљем тексту: администратор система), које овласти министар надлежан за послове туризма.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и унетим подацима у делу евиденције угоститеља и угоститељских објеката, категоризације угоститељских објеката, боравишне таксе, као и приступ у делу извештавања и аналитике, има запослено лице у Министарству, на основу додељеног корисничког налога.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Лице из става 3. овог члана нема приступ подацима корисника услуга смештаја, који се односе на податке о личности.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подацима корисника услуга смештаја за домаће и стране држављане, који се односе на податке о личности има администратор система.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Администратор система додељује кориснички налог ЈЛС-у, угоститељу који обавља угоститељску делатност у објектима из члана 4. ст. 1. и 2. овог правилника, као и МУП-у, РЗС-у, органу за пореску администрацију, ТОС-у, туристичкој организацији аутономне покрајине, туристичкој организацији регије, ЛТО, пореској управи, туристичком инспектору, овлашћеном инспектору и органу за финансије.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Администратор система води евиденцију о додељеним или измењеним корисничким налозима из става 7. овог члана.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10.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ЈЛС има приступ функционалностима ЦИС-а и унетим подацима у делу евиденције угоститеља и угоститељских објеката, категоризације угоститељских објеката, боравишне таксе, као и у делу извештавања и аналитике.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и подацима из става 1. овог члана ЈЛС остварује само за угоститеље и угоститељске објекте који се налазе на њеној територији.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и подацима из става 1. овог члана у делу категоризације угоститељских објеката ЈЛС остварује само за угоститељске објекте из члана 5. став 1. овог правилника.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Изузетно од става 2. овог члана ЈЛС има увид у податке ЦИС-а у делу провере капацитета индивидуалних лежајева и камп парцела, угоститеља, који као физичко лице обавља угоститељску делатност на територији целе Републике Србије.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и подацима из става 1. овог члана има једно или више лица у ЈЛС на основу додељеног корисничког налога.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Лице из става 5. овог члана нема приступ подацима корисника услуга смештаја, који се односе на податке о личности.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Лице из става 5. овог члана додељује кориснички налог угоститељу.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ЈЛС води евиденцију о додељеним или измењеним корисничким налозима из става 7. овог члана.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11.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Угоститељ има приступ функционалностима ЦИС-а у делу категоризације угоститељских објеката, уноса података о корисницима услуге смештаја и обрачунатог задужења боравишне таксе, као и приступ подацима о угоститељском објекту у коме пружа услуге смештаја.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Угоститељ остварује приступ преко додељеног корисничког налога.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Након добијања корисничког налога угоститељ може овластити једно или више лица за приступ систему за унос података о корисницима услуге смештаја, као и подношења захтева за категоризацију, додељивањем података неопходних за приступ.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за подношење захтева за категоризацију угоститељских објеката има и привредно друштво, друго правно лице, предузетник или физичко лице, које није угоститељ.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Лице из става 4. овог члана приступ остварује привременим корисничким налогом, додељеним од стране администратора система, односно лица из члана 10. став 5. овог правилника.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12.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МУП има приступ подацима из ЦИС-а о кориснику услуге смештаја који је страни држављанин.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Након уношења података из члана 3. став 4. тачка 2), МУП-у се аутоматски путем интерфејса достављају подаци о страним држављанима, корисницима услуге смештаја.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13.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РЗС има приступ функционалностима ЦИС-а у делу извештавања и аналитике, који се односе на угоститеље, угоститељске објекте, смештајне капацитете, туристички промет и његову структуру, као и на кориснике услуге смештаја.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из става 1. овог члана РЗС остварује путем интерфејса.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РЗС нема приступ подацима корисника услуга смештаја, који се односе на податке о личности.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14.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Орган за пореску администрацију има приступ ЦИС-у у делу података о угоститељу и угоститељском објекту, са капацитетима индивидуалних лежајева и камп парцела, у ком угоститељ као физичко лице обавља угоститељску делатност.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Орган за пореску администрацију има приступ подацима из става 1. овог члана, који се односе на обрачун, контроле и наплате годишњег износа боравишне таксе за физичко лице, које обавља угоститељску делатност.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подацима из става 1. овог члана орган за пореску администрацију остварује путем интерфејса.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15.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Пореска управа има приступ ЦИС-у у делу података о угоститељу и угоститељском објекту, са капацитетима индивидуалних лежајева и камп парцела, у којима угоститељ као физичко лице обавља угоститељску делатност.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Пореска управа има приступ подацима из става 1. овог члана, који се односе на обрачун, контролу и наплату годишњег износа пореза за физичко лице, које обавља угоститељску делатност.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16.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ТОС има приступ функционалностима ЦИС-а у делу извештавања и аналитике, који се односи на извештаје о туристичком промету и његовој структури, за територију Републике Србије.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Туристичка организација аутономне покрајине има приступ функционалностима ЦИС-а у делу извештавања и аналитике, који се односи на извештаје о туристичком промету и његовој структури, за територију аутономне покрајине.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Туристичка организација регије има приступ функционалностима ЦИС-а у делу извештавања и аналитике, који се односи на извештаје о туристичком промету и његовој структури, за територију регије за коју је основана.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ЛТО има приступ функционалностима ЦИС-а у делу извештавања и аналитике који се односи на извештаје о туристичком промету и његовој структури, за територију ЈЛС.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Субјекти из ст. 1–4. овог члана немају приступ подацима корисника услуга смештаја, који се односе на податке о личности.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17.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Туристички инспектор има приступ функционалностима ЦИС-а и унетим подацима у делу евиденције угоститеља и угоститељских објеката, категоризације угоститељских објеката из члана 4. став 1. овог правилника, као и у делу извештавања и аналитике.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и подацима из става 1. овог члана, туристички инспектор остварује за све угоститеље и угоститељске објекте који се налазе на територији Републике Србије.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Овлашћени инспектор има приступ функционалностима ЦИС-а и унетим подацима у делу евиденције угоститеља и угоститељских објеката, као и приступ у делу извештавања и аналитике.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функционалностима ЦИС-а и подацима из става 3. овог члана, овлашћени инспектор остварује само за угоститеље и угоститељске објекте који се налазе на територији једне или више ЈЛС на којима је овлашћен да врши надзор, у складу са законом.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Лица из ст. 1. и 3. овог члана немају приступ подацима корисника услуга смештаја, који се односе на податке о личности.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18.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Орган за финансијe има приступ ЦИС-у делу података о боравишној такси, која је уплаћена од стране привредног друштва, другог правног лица или предузетника, који обавља угоститељску делатност.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Приступ подацима из става 1. овог члана орган за финансијe остварује у делу обрачуна, контроле и наплате боравишне таксе, која је уплаћена од стране привредног друштва, другог правног лица или предузетника, који обавља угоститељску делатност.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19.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Даном ступања на снагу овог правилника престају да важе Правилник о облику, садржини и начину вођења евиденције гостију у угоститељском објекту за смештај („Службени гласник РС”, број 96/09), Правилник о облику, садржини и начину вођења евиденције гостију у домаћој радиности („Службени гласник РС”, број 96/09), Правилник о облику, садржини и начину вођења евиденције гостију у сеоском туристичком домаћинству („Службени гласник РС”, број 96/09) и Правилник о садржини и начину подношења пријаве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 и о садржини и начину вођења евиденције објеката за смештај („Службени гласник РС</w:t>
      </w:r>
      <w:r>
        <w:rPr>
          <w:rFonts w:ascii="Arial" w:hAnsi="Arial" w:cs="Arial"/>
          <w:color w:val="333333"/>
          <w:sz w:val="18"/>
          <w:szCs w:val="18"/>
        </w:rPr>
        <w:t>ˮ</w:t>
      </w:r>
      <w:r>
        <w:rPr>
          <w:rFonts w:ascii="Verdana" w:hAnsi="Verdana"/>
          <w:color w:val="333333"/>
          <w:sz w:val="18"/>
          <w:szCs w:val="18"/>
        </w:rPr>
        <w:t xml:space="preserve">, </w:t>
      </w:r>
      <w:r>
        <w:rPr>
          <w:rFonts w:ascii="Verdana" w:hAnsi="Verdana" w:cs="Verdana"/>
          <w:color w:val="333333"/>
          <w:sz w:val="18"/>
          <w:szCs w:val="18"/>
        </w:rPr>
        <w:t>број</w:t>
      </w:r>
      <w:r>
        <w:rPr>
          <w:rFonts w:ascii="Verdana" w:hAnsi="Verdana"/>
          <w:color w:val="333333"/>
          <w:sz w:val="18"/>
          <w:szCs w:val="18"/>
        </w:rPr>
        <w:t xml:space="preserve"> 90/19), </w:t>
      </w:r>
      <w:r>
        <w:rPr>
          <w:rFonts w:ascii="Verdana" w:hAnsi="Verdana" w:cs="Verdana"/>
          <w:color w:val="333333"/>
          <w:sz w:val="18"/>
          <w:szCs w:val="18"/>
        </w:rPr>
        <w:t>осим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одредаба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чл</w:t>
      </w:r>
      <w:r>
        <w:rPr>
          <w:rFonts w:ascii="Verdana" w:hAnsi="Verdana"/>
          <w:color w:val="333333"/>
          <w:sz w:val="18"/>
          <w:szCs w:val="18"/>
        </w:rPr>
        <w:t xml:space="preserve">. 2.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3, </w:t>
      </w:r>
      <w:r>
        <w:rPr>
          <w:rFonts w:ascii="Verdana" w:hAnsi="Verdana" w:cs="Verdana"/>
          <w:color w:val="333333"/>
          <w:sz w:val="18"/>
          <w:szCs w:val="18"/>
        </w:rPr>
        <w:t>члана</w:t>
      </w:r>
      <w:r>
        <w:rPr>
          <w:rFonts w:ascii="Verdana" w:hAnsi="Verdana"/>
          <w:color w:val="333333"/>
          <w:sz w:val="18"/>
          <w:szCs w:val="18"/>
        </w:rPr>
        <w:t xml:space="preserve"> 5. </w:t>
      </w:r>
      <w:r>
        <w:rPr>
          <w:rFonts w:ascii="Verdana" w:hAnsi="Verdana" w:cs="Verdana"/>
          <w:color w:val="333333"/>
          <w:sz w:val="18"/>
          <w:szCs w:val="18"/>
        </w:rPr>
        <w:t>ст</w:t>
      </w:r>
      <w:r>
        <w:rPr>
          <w:rFonts w:ascii="Verdana" w:hAnsi="Verdana"/>
          <w:color w:val="333333"/>
          <w:sz w:val="18"/>
          <w:szCs w:val="18"/>
        </w:rPr>
        <w:t xml:space="preserve">. 2.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4, </w:t>
      </w:r>
      <w:r>
        <w:rPr>
          <w:rFonts w:ascii="Verdana" w:hAnsi="Verdana" w:cs="Verdana"/>
          <w:color w:val="333333"/>
          <w:sz w:val="18"/>
          <w:szCs w:val="18"/>
        </w:rPr>
        <w:t>члана</w:t>
      </w:r>
      <w:r>
        <w:rPr>
          <w:rFonts w:ascii="Verdana" w:hAnsi="Verdana"/>
          <w:color w:val="333333"/>
          <w:sz w:val="18"/>
          <w:szCs w:val="18"/>
        </w:rPr>
        <w:t xml:space="preserve"> 6. </w:t>
      </w:r>
      <w:r>
        <w:rPr>
          <w:rFonts w:ascii="Verdana" w:hAnsi="Verdana" w:cs="Verdana"/>
          <w:color w:val="333333"/>
          <w:sz w:val="18"/>
          <w:szCs w:val="18"/>
        </w:rPr>
        <w:t>став</w:t>
      </w:r>
      <w:r>
        <w:rPr>
          <w:rFonts w:ascii="Verdana" w:hAnsi="Verdana"/>
          <w:color w:val="333333"/>
          <w:sz w:val="18"/>
          <w:szCs w:val="18"/>
        </w:rPr>
        <w:t xml:space="preserve"> 3.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члана</w:t>
      </w:r>
      <w:r>
        <w:rPr>
          <w:rFonts w:ascii="Verdana" w:hAnsi="Verdana"/>
          <w:color w:val="333333"/>
          <w:sz w:val="18"/>
          <w:szCs w:val="18"/>
        </w:rPr>
        <w:t xml:space="preserve"> 7.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Прилога</w:t>
      </w:r>
      <w:r>
        <w:rPr>
          <w:rFonts w:ascii="Verdana" w:hAnsi="Verdana"/>
          <w:color w:val="333333"/>
          <w:sz w:val="18"/>
          <w:szCs w:val="18"/>
        </w:rPr>
        <w:t xml:space="preserve"> 5, </w:t>
      </w:r>
      <w:r>
        <w:rPr>
          <w:rFonts w:ascii="Verdana" w:hAnsi="Verdana" w:cs="Verdana"/>
          <w:color w:val="333333"/>
          <w:sz w:val="18"/>
          <w:szCs w:val="18"/>
        </w:rPr>
        <w:t>који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је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одштампан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уз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тај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правилник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чини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његов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саставни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део</w:t>
      </w:r>
      <w:r>
        <w:rPr>
          <w:rFonts w:ascii="Verdana" w:hAnsi="Verdana"/>
          <w:color w:val="333333"/>
          <w:sz w:val="18"/>
          <w:szCs w:val="18"/>
        </w:rPr>
        <w:t>.</w:t>
      </w:r>
    </w:p>
    <w:p w:rsidR="00980E1A" w:rsidRDefault="00980E1A" w:rsidP="00980E1A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20.</w:t>
      </w:r>
    </w:p>
    <w:p w:rsidR="00980E1A" w:rsidRDefault="00980E1A" w:rsidP="00980E1A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Овај правилник ступа на снагу осмог дана од дана објављивања у „Службеном гласнику Републике Србије”, а примењује се од 1. октобра 2020. године, осим одредаба члана 9. ст. 6. и 7. и члана 10. ст. 7. и 8, које се примењују од 1. септембра 2020. године.</w:t>
      </w:r>
    </w:p>
    <w:p w:rsidR="00980E1A" w:rsidRDefault="00980E1A" w:rsidP="00980E1A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Број 110-00-44/2020-08</w:t>
      </w:r>
    </w:p>
    <w:p w:rsidR="00980E1A" w:rsidRDefault="00980E1A" w:rsidP="00980E1A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 Београду, 15. јуна 2020. године</w:t>
      </w:r>
    </w:p>
    <w:p w:rsidR="00980E1A" w:rsidRDefault="00980E1A" w:rsidP="00980E1A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Министар,</w:t>
      </w:r>
    </w:p>
    <w:p w:rsidR="00980E1A" w:rsidRDefault="00980E1A" w:rsidP="00980E1A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Style w:val="bold"/>
          <w:rFonts w:ascii="Verdana" w:hAnsi="Verdana"/>
          <w:b/>
          <w:bCs/>
          <w:color w:val="333333"/>
          <w:sz w:val="18"/>
          <w:szCs w:val="18"/>
        </w:rPr>
        <w:t>Расим Љајић, </w:t>
      </w:r>
      <w:r>
        <w:rPr>
          <w:rFonts w:ascii="Verdana" w:hAnsi="Verdana"/>
          <w:color w:val="333333"/>
          <w:sz w:val="18"/>
          <w:szCs w:val="18"/>
        </w:rPr>
        <w:t>с.р.</w:t>
      </w:r>
    </w:p>
    <w:p w:rsidR="001C187E" w:rsidRDefault="001C187E"/>
    <w:sectPr w:rsidR="001C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14"/>
    <w:rsid w:val="001C187E"/>
    <w:rsid w:val="001D0614"/>
    <w:rsid w:val="009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B5B16-F844-4FBF-ADFF-A522B47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9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odluka-zakon">
    <w:name w:val="odluka-zakon"/>
    <w:basedOn w:val="Normal"/>
    <w:rsid w:val="009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entar">
    <w:name w:val="centar"/>
    <w:basedOn w:val="Normal"/>
    <w:rsid w:val="009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lan">
    <w:name w:val="clan"/>
    <w:basedOn w:val="Normal"/>
    <w:rsid w:val="009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italik">
    <w:name w:val="italik"/>
    <w:basedOn w:val="DefaultParagraphFont"/>
    <w:rsid w:val="00980E1A"/>
  </w:style>
  <w:style w:type="paragraph" w:customStyle="1" w:styleId="potpis">
    <w:name w:val="potpis"/>
    <w:basedOn w:val="Normal"/>
    <w:rsid w:val="0098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old">
    <w:name w:val="bold"/>
    <w:basedOn w:val="DefaultParagraphFont"/>
    <w:rsid w:val="0098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2638</Words>
  <Characters>15042</Characters>
  <Application>Microsoft Office Word</Application>
  <DocSecurity>0</DocSecurity>
  <Lines>125</Lines>
  <Paragraphs>35</Paragraphs>
  <ScaleCrop>false</ScaleCrop>
  <Company/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v.rovcanin v.rovcanin</dc:creator>
  <cp:keywords/>
  <dc:description/>
  <cp:lastModifiedBy>v.rovcanin v.rovcanin</cp:lastModifiedBy>
  <cp:revision>2</cp:revision>
  <dcterms:created xsi:type="dcterms:W3CDTF">2020-07-03T16:33:00Z</dcterms:created>
  <dcterms:modified xsi:type="dcterms:W3CDTF">2020-07-03T16:36:00Z</dcterms:modified>
</cp:coreProperties>
</file>