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0.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21.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numbering.xml" ContentType="application/vnd.openxmlformats-officedocument.wordprocessingml.numbering+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media/image1.png" ContentType="image/png"/>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r>
    </w:p>
    <w:p>
      <w:pPr>
        <w:pStyle w:val="Normal"/>
        <w:jc w:val="center"/>
        <w:rPr>
          <w:color w:val="000000"/>
        </w:rPr>
      </w:pPr>
      <w:r>
        <w:rPr>
          <w:color w:val="000000"/>
        </w:rPr>
        <mc:AlternateContent>
          <mc:Choice Requires="wps">
            <w:drawing>
              <wp:anchor behindDoc="0" distT="635" distB="0" distL="181610" distR="182880" simplePos="0" locked="0" layoutInCell="0" allowOverlap="1" relativeHeight="3" wp14:anchorId="1B9FD77B">
                <wp:simplePos x="0" y="0"/>
                <wp:positionH relativeFrom="margin">
                  <wp:posOffset>480695</wp:posOffset>
                </wp:positionH>
                <wp:positionV relativeFrom="page">
                  <wp:posOffset>5339080</wp:posOffset>
                </wp:positionV>
                <wp:extent cx="5229225" cy="3067050"/>
                <wp:effectExtent l="0" t="0" r="0" b="0"/>
                <wp:wrapSquare wrapText="bothSides"/>
                <wp:docPr id="1" name="Rectangle 416337928"/>
                <a:graphic xmlns:a="http://schemas.openxmlformats.org/drawingml/2006/main">
                  <a:graphicData uri="http://schemas.microsoft.com/office/word/2010/wordprocessingShape">
                    <wps:wsp>
                      <wps:cNvSpPr/>
                      <wps:spPr>
                        <a:xfrm>
                          <a:off x="0" y="0"/>
                          <a:ext cx="5229360" cy="3067200"/>
                        </a:xfrm>
                        <a:prstGeom prst="rect">
                          <a:avLst/>
                        </a:prstGeom>
                        <a:noFill/>
                        <a:ln w="0">
                          <a:noFill/>
                        </a:ln>
                      </wps:spPr>
                      <wps:style>
                        <a:lnRef idx="0"/>
                        <a:fillRef idx="0"/>
                        <a:effectRef idx="0"/>
                        <a:fontRef idx="minor"/>
                      </wps:style>
                      <wps:txbx>
                        <w:txbxContent>
                          <w:p>
                            <w:pPr>
                              <w:pStyle w:val="FrameContentsuser"/>
                              <w:spacing w:lineRule="auto" w:line="216" w:before="40" w:after="560"/>
                              <w:rPr/>
                            </w:pPr>
                            <w:r>
                              <w:rPr>
                                <w:rFonts w:eastAsia="Arial" w:cs="Arial" w:ascii="Arial" w:hAnsi="Arial"/>
                                <w:color w:val="5B9BD5"/>
                                <w:sz w:val="40"/>
                              </w:rPr>
                              <w:t>План укључивања заинтересованих страна</w:t>
                            </w:r>
                          </w:p>
                          <w:p>
                            <w:pPr>
                              <w:pStyle w:val="FrameContentsuser"/>
                              <w:spacing w:lineRule="auto" w:line="240" w:before="80" w:after="40"/>
                              <w:rPr/>
                            </w:pPr>
                            <w:r>
                              <w:rPr>
                                <w:rFonts w:eastAsia="Arial" w:cs="Arial" w:ascii="Arial" w:hAnsi="Arial"/>
                                <w:smallCaps/>
                                <w:color w:val="1F3864"/>
                                <w:sz w:val="28"/>
                              </w:rPr>
                              <w:t>ПОТПРОЈЕКАТ</w:t>
                            </w:r>
                          </w:p>
                          <w:p>
                            <w:pPr>
                              <w:pStyle w:val="FrameContentsuser"/>
                              <w:rPr>
                                <w:rFonts w:ascii="Arial" w:hAnsi="Arial" w:eastAsia="Arial" w:cs="Arial"/>
                                <w:smallCaps/>
                                <w:color w:val="1F3864"/>
                                <w:sz w:val="28"/>
                              </w:rPr>
                            </w:pPr>
                            <w:r>
                              <w:rPr>
                                <w:rFonts w:eastAsia="Arial" w:cs="Arial" w:ascii="Arial" w:hAnsi="Arial"/>
                                <w:smallCaps/>
                                <w:color w:val="1F3864"/>
                                <w:sz w:val="28"/>
                              </w:rPr>
                              <w:t>„</w:t>
                            </w:r>
                            <w:r>
                              <w:rPr>
                                <w:rFonts w:eastAsia="Arial" w:cs="Arial" w:ascii="Arial" w:hAnsi="Arial"/>
                                <w:smallCaps/>
                                <w:color w:val="1F3864"/>
                                <w:sz w:val="28"/>
                              </w:rPr>
                              <w:t>Реконструкција општинских путева Бребевница–Мазгош–Мојинци и Радејна–Петрлаш у Димитровграду“</w:t>
                            </w:r>
                          </w:p>
                          <w:p>
                            <w:pPr>
                              <w:pStyle w:val="FrameContentsuser"/>
                              <w:spacing w:before="0" w:after="160"/>
                              <w:rPr>
                                <w:rFonts w:ascii="Arial" w:hAnsi="Arial" w:eastAsia="Arial" w:cs="Arial"/>
                                <w:smallCaps/>
                                <w:color w:val="1F3864"/>
                                <w:sz w:val="28"/>
                                <w:lang w:val="sr-Latn-RS"/>
                              </w:rPr>
                            </w:pPr>
                            <w:r>
                              <w:rPr>
                                <w:color w:val="000000"/>
                              </w:rPr>
                            </w:r>
                          </w:p>
                        </w:txbxContent>
                      </wps:txbx>
                      <wps:bodyPr lIns="0" rIns="0" tIns="0" bIns="0" anchor="t">
                        <a:noAutofit/>
                      </wps:bodyPr>
                    </wps:wsp>
                  </a:graphicData>
                </a:graphic>
              </wp:anchor>
            </w:drawing>
          </mc:Choice>
          <mc:Fallback>
            <w:pict>
              <v:rect id="shape_0" ID="Rectangle 416337928" path="m0,0l-2147483645,0l-2147483645,-2147483646l0,-2147483646xe" stroked="f" o:allowincell="f" style="position:absolute;margin-left:37.85pt;margin-top:420.4pt;width:411.7pt;height:241.45pt;mso-wrap-style:square;v-text-anchor:top;mso-position-horizontal-relative:margin;mso-position-vertical-relative:page" wp14:anchorId="1B9FD77B">
                <v:fill o:detectmouseclick="t" on="false"/>
                <v:stroke color="#3465a4" joinstyle="round" endcap="flat"/>
                <v:textbox>
                  <w:txbxContent>
                    <w:p>
                      <w:pPr>
                        <w:pStyle w:val="FrameContentsuser"/>
                        <w:spacing w:lineRule="auto" w:line="216" w:before="40" w:after="560"/>
                        <w:rPr/>
                      </w:pPr>
                      <w:r>
                        <w:rPr>
                          <w:rFonts w:eastAsia="Arial" w:cs="Arial" w:ascii="Arial" w:hAnsi="Arial"/>
                          <w:color w:val="5B9BD5"/>
                          <w:sz w:val="40"/>
                        </w:rPr>
                        <w:t>План укључивања заинтересованих страна</w:t>
                      </w:r>
                    </w:p>
                    <w:p>
                      <w:pPr>
                        <w:pStyle w:val="FrameContentsuser"/>
                        <w:spacing w:lineRule="auto" w:line="240" w:before="80" w:after="40"/>
                        <w:rPr/>
                      </w:pPr>
                      <w:r>
                        <w:rPr>
                          <w:rFonts w:eastAsia="Arial" w:cs="Arial" w:ascii="Arial" w:hAnsi="Arial"/>
                          <w:smallCaps/>
                          <w:color w:val="1F3864"/>
                          <w:sz w:val="28"/>
                        </w:rPr>
                        <w:t>ПОТПРОЈЕКАТ</w:t>
                      </w:r>
                    </w:p>
                    <w:p>
                      <w:pPr>
                        <w:pStyle w:val="FrameContentsuser"/>
                        <w:rPr>
                          <w:rFonts w:ascii="Arial" w:hAnsi="Arial" w:eastAsia="Arial" w:cs="Arial"/>
                          <w:smallCaps/>
                          <w:color w:val="1F3864"/>
                          <w:sz w:val="28"/>
                        </w:rPr>
                      </w:pPr>
                      <w:r>
                        <w:rPr>
                          <w:rFonts w:eastAsia="Arial" w:cs="Arial" w:ascii="Arial" w:hAnsi="Arial"/>
                          <w:smallCaps/>
                          <w:color w:val="1F3864"/>
                          <w:sz w:val="28"/>
                        </w:rPr>
                        <w:t>„</w:t>
                      </w:r>
                      <w:r>
                        <w:rPr>
                          <w:rFonts w:eastAsia="Arial" w:cs="Arial" w:ascii="Arial" w:hAnsi="Arial"/>
                          <w:smallCaps/>
                          <w:color w:val="1F3864"/>
                          <w:sz w:val="28"/>
                        </w:rPr>
                        <w:t>Реконструкција општинских путева Бребевница–Мазгош–Мојинци и Радејна–Петрлаш у Димитровграду“</w:t>
                      </w:r>
                    </w:p>
                    <w:p>
                      <w:pPr>
                        <w:pStyle w:val="FrameContentsuser"/>
                        <w:spacing w:before="0" w:after="160"/>
                        <w:rPr>
                          <w:rFonts w:ascii="Arial" w:hAnsi="Arial" w:eastAsia="Arial" w:cs="Arial"/>
                          <w:smallCaps/>
                          <w:color w:val="1F3864"/>
                          <w:sz w:val="28"/>
                          <w:lang w:val="sr-Latn-RS"/>
                        </w:rPr>
                      </w:pPr>
                      <w:r>
                        <w:rPr>
                          <w:color w:val="000000"/>
                        </w:rPr>
                      </w:r>
                    </w:p>
                  </w:txbxContent>
                </v:textbox>
                <w10:wrap type="square"/>
              </v:rect>
            </w:pict>
          </mc:Fallback>
        </mc:AlternateContent>
        <mc:AlternateContent>
          <mc:Choice Requires="wps">
            <w:drawing>
              <wp:anchor behindDoc="0" distT="0" distB="0" distL="0" distR="0" simplePos="0" locked="0" layoutInCell="0" allowOverlap="1" relativeHeight="5" wp14:anchorId="321043E4">
                <wp:simplePos x="0" y="0"/>
                <wp:positionH relativeFrom="margin">
                  <wp:align>right</wp:align>
                </wp:positionH>
                <wp:positionV relativeFrom="page">
                  <wp:posOffset>226695</wp:posOffset>
                </wp:positionV>
                <wp:extent cx="603885" cy="996950"/>
                <wp:effectExtent l="0" t="0" r="0" b="0"/>
                <wp:wrapNone/>
                <wp:docPr id="2" name="Rectangle 416337927"/>
                <a:graphic xmlns:a="http://schemas.openxmlformats.org/drawingml/2006/main">
                  <a:graphicData uri="http://schemas.microsoft.com/office/word/2010/wordprocessingShape">
                    <wps:wsp>
                      <wps:cNvSpPr/>
                      <wps:spPr>
                        <a:xfrm>
                          <a:off x="0" y="0"/>
                          <a:ext cx="603720" cy="996840"/>
                        </a:xfrm>
                        <a:prstGeom prst="rect">
                          <a:avLst/>
                        </a:prstGeom>
                        <a:solidFill>
                          <a:schemeClr val="accent1"/>
                        </a:solidFill>
                        <a:ln w="0">
                          <a:noFill/>
                        </a:ln>
                      </wps:spPr>
                      <wps:style>
                        <a:lnRef idx="0"/>
                        <a:fillRef idx="0"/>
                        <a:effectRef idx="0"/>
                        <a:fontRef idx="minor"/>
                      </wps:style>
                      <wps:txbx>
                        <w:txbxContent>
                          <w:p>
                            <w:pPr>
                              <w:pStyle w:val="FrameContentsuser"/>
                              <w:spacing w:lineRule="auto" w:line="240" w:before="0" w:after="0"/>
                              <w:jc w:val="right"/>
                              <w:rPr>
                                <w:lang w:val="sr-Latn-RS"/>
                              </w:rPr>
                            </w:pPr>
                            <w:r>
                              <w:rPr>
                                <w:rFonts w:eastAsia="Arial" w:cs="Arial" w:ascii="Arial" w:hAnsi="Arial"/>
                                <w:color w:val="FFFFFF"/>
                                <w:sz w:val="24"/>
                                <w:lang w:val="sr-Latn-RS"/>
                              </w:rPr>
                              <w:t>2026</w:t>
                            </w:r>
                          </w:p>
                        </w:txbxContent>
                      </wps:txbx>
                      <wps:bodyPr lIns="45720" rIns="45720" anchor="b">
                        <a:noAutofit/>
                      </wps:bodyPr>
                    </wps:wsp>
                  </a:graphicData>
                </a:graphic>
              </wp:anchor>
            </w:drawing>
          </mc:Choice>
          <mc:Fallback>
            <w:pict>
              <v:rect id="shape_0" ID="Rectangle 416337927" path="m0,0l-2147483645,0l-2147483645,-2147483646l0,-2147483646xe" fillcolor="#5b9bd5" stroked="f" o:allowincell="f" style="position:absolute;margin-left:456.4pt;margin-top:17.85pt;width:47.5pt;height:78.45pt;mso-wrap-style:square;v-text-anchor:bottom;mso-position-horizontal:right;mso-position-horizontal-relative:margin;mso-position-vertical-relative:page" wp14:anchorId="321043E4">
                <v:fill o:detectmouseclick="t" type="solid" color2="#a4642a"/>
                <v:stroke color="#3465a4" joinstyle="round" endcap="flat"/>
                <v:textbox>
                  <w:txbxContent>
                    <w:p>
                      <w:pPr>
                        <w:pStyle w:val="FrameContentsuser"/>
                        <w:spacing w:lineRule="auto" w:line="240" w:before="0" w:after="0"/>
                        <w:jc w:val="right"/>
                        <w:rPr>
                          <w:lang w:val="sr-Latn-RS"/>
                        </w:rPr>
                      </w:pPr>
                      <w:r>
                        <w:rPr>
                          <w:rFonts w:eastAsia="Arial" w:cs="Arial" w:ascii="Arial" w:hAnsi="Arial"/>
                          <w:color w:val="FFFFFF"/>
                          <w:sz w:val="24"/>
                          <w:lang w:val="sr-Latn-RS"/>
                        </w:rPr>
                        <w:t>2026</w:t>
                      </w:r>
                    </w:p>
                  </w:txbxContent>
                </v:textbox>
                <w10:wrap type="none"/>
              </v:rect>
            </w:pict>
          </mc:Fallback>
        </mc:AlternateContent>
      </w:r>
      <w:r>
        <w:br w:type="page"/>
      </w:r>
    </w:p>
    <w:p>
      <w:pPr>
        <w:pStyle w:val="Normal"/>
        <w:spacing w:before="0" w:after="160"/>
        <w:rPr>
          <w:color w:val="000000"/>
        </w:rPr>
      </w:pPr>
      <w:r>
        <w:rPr>
          <w:color w:val="000000"/>
        </w:rPr>
      </w:r>
    </w:p>
    <w:p>
      <w:pPr>
        <w:pStyle w:val="Normal"/>
        <w:keepNext w:val="true"/>
        <w:keepLines/>
        <w:tabs>
          <w:tab w:val="clear" w:pos="720"/>
          <w:tab w:val="left" w:pos="360" w:leader="none"/>
        </w:tabs>
        <w:spacing w:before="240" w:after="0"/>
        <w:ind w:hanging="360" w:left="360"/>
        <w:rPr>
          <w:b/>
          <w:color w:val="2F5496"/>
          <w:sz w:val="24"/>
          <w:szCs w:val="24"/>
          <w:u w:val="single"/>
        </w:rPr>
      </w:pPr>
      <w:r>
        <w:rPr>
          <w:b/>
          <w:color w:val="2F5496"/>
          <w:sz w:val="24"/>
          <w:szCs w:val="24"/>
          <w:u w:val="single"/>
        </w:rPr>
        <w:t>Садржај</w:t>
      </w:r>
    </w:p>
    <w:p>
      <w:pPr>
        <w:pStyle w:val="Normal"/>
        <w:rPr/>
      </w:pPr>
      <w:r>
        <w:rPr/>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lang w:val="en-US" w:eastAsia="en-US"/>
            </w:rPr>
          </w:pPr>
          <w:r>
            <w:fldChar w:fldCharType="begin"/>
          </w:r>
          <w:r>
            <w:rPr>
              <w:webHidden/>
              <w:rStyle w:val="IndexLink"/>
              <w:b/>
              <w:vanish w:val="false"/>
            </w:rPr>
            <w:instrText xml:space="preserve"> TOC \z \o "1-9" \u \t "heading 1,1,heading 2,2,heading 3,3" \h</w:instrText>
          </w:r>
          <w:r>
            <w:rPr>
              <w:webHidden/>
              <w:rStyle w:val="IndexLink"/>
              <w:b/>
              <w:vanish w:val="false"/>
            </w:rPr>
            <w:fldChar w:fldCharType="separate"/>
          </w:r>
          <w:hyperlink w:anchor="_Toc210082066">
            <w:r>
              <w:rPr>
                <w:webHidden/>
                <w:rStyle w:val="IndexLink"/>
                <w:b/>
                <w:vanish w:val="false"/>
              </w:rPr>
              <w:t>I.</w:t>
            </w:r>
            <w:r>
              <w:rPr>
                <w:rStyle w:val="IndexLink"/>
                <w:rFonts w:eastAsia="" w:cs="" w:cstheme="minorBidi" w:eastAsiaTheme="minorEastAsia"/>
                <w:lang w:val="en-US" w:eastAsia="en-US"/>
              </w:rPr>
              <w:tab/>
            </w:r>
            <w:r>
              <w:rPr>
                <w:rStyle w:val="IndexLink"/>
                <w:b/>
              </w:rPr>
              <w:t>Увод</w:t>
            </w:r>
            <w:r>
              <w:rPr>
                <w:webHidden/>
              </w:rPr>
              <w:fldChar w:fldCharType="begin"/>
            </w:r>
            <w:r>
              <w:rPr>
                <w:webHidden/>
              </w:rPr>
              <w:instrText xml:space="preserve">PAGEREF _Toc210082066 \h</w:instrText>
            </w:r>
            <w:r>
              <w:rPr>
                <w:webHidden/>
              </w:rPr>
              <w:fldChar w:fldCharType="separate"/>
            </w:r>
            <w:r>
              <w:rPr>
                <w:rStyle w:val="IndexLink"/>
                <w:vanish w:val="false"/>
              </w:rPr>
              <w:tab/>
              <w:t>1</w:t>
            </w:r>
            <w:r>
              <w:rPr>
                <w:webHidden/>
              </w:rPr>
              <w:fldChar w:fldCharType="end"/>
            </w:r>
          </w:hyperlink>
        </w:p>
        <w:p>
          <w:pPr>
            <w:pStyle w:val="Normal"/>
            <w:rPr>
              <w:b/>
              <w:bCs/>
              <w:color w:val="0000FF"/>
              <w:u w:val="single"/>
              <w:lang w:val="en-US"/>
            </w:rPr>
          </w:pPr>
          <w:hyperlink w:anchor="_Toc210082067">
            <w:r>
              <w:rPr>
                <w:webHidden/>
                <w:rStyle w:val="IndexLink"/>
                <w:vanish w:val="false"/>
              </w:rPr>
              <w:t>Потпројекат</w:t>
            </w:r>
            <w:r>
              <w:rPr>
                <w:rStyle w:val="IndexLink"/>
                <w:lang w:val="sr-Latn-RS"/>
              </w:rPr>
              <w:t xml:space="preserve"> </w:t>
            </w:r>
            <w:r>
              <w:rPr>
                <w:rStyle w:val="IndexLink"/>
                <w:b/>
                <w:bCs/>
              </w:rPr>
              <w:t>„</w:t>
            </w:r>
            <w:r>
              <w:rPr>
                <w:rStyle w:val="IndexLink"/>
                <w:b/>
                <w:bCs/>
                <w:lang w:val="en-US"/>
              </w:rPr>
              <w:t>„Реконструкција општинских путева Бребевница–Мазгош–Мојинци и Радејна–Петрлаш у Димитровграду“</w:t>
            </w:r>
            <w:r>
              <w:rPr>
                <w:rStyle w:val="IndexLink"/>
              </w:rPr>
              <w:t>......................................................................................................................................................</w:t>
            </w:r>
            <w:r>
              <w:rPr>
                <w:webHidden/>
              </w:rPr>
              <w:fldChar w:fldCharType="begin"/>
            </w:r>
            <w:r>
              <w:rPr>
                <w:webHidden/>
              </w:rPr>
              <w:instrText xml:space="preserve">PAGEREF _Toc210082067 \h</w:instrText>
            </w:r>
            <w:r>
              <w:rPr>
                <w:webHidden/>
              </w:rPr>
              <w:fldChar w:fldCharType="separate"/>
            </w:r>
            <w:r>
              <w:rPr>
                <w:rStyle w:val="IndexLink"/>
                <w:vanish w:val="false"/>
              </w:rPr>
              <w:t>1</w:t>
            </w:r>
            <w:r>
              <w:rPr>
                <w:webHidden/>
              </w:rPr>
              <w:fldChar w:fldCharType="end"/>
            </w:r>
          </w:hyperlink>
        </w:p>
        <w:p>
          <w:pPr>
            <w:pStyle w:val="TOC2"/>
            <w:tabs>
              <w:tab w:val="clear" w:pos="720"/>
              <w:tab w:val="right" w:pos="10070" w:leader="dot"/>
            </w:tabs>
            <w:ind w:left="0"/>
            <w:rPr>
              <w:rFonts w:ascii="Calibri" w:hAnsi="Calibri" w:eastAsia="" w:cs="" w:asciiTheme="minorHAnsi" w:cstheme="minorBidi" w:eastAsiaTheme="minorEastAsia" w:hAnsiTheme="minorHAnsi"/>
              <w:lang w:val="en-US" w:eastAsia="en-US"/>
            </w:rPr>
          </w:pPr>
          <w:hyperlink w:anchor="_Toc210082068">
            <w:r>
              <w:rPr>
                <w:webHidden/>
              </w:rPr>
              <w:fldChar w:fldCharType="begin"/>
            </w:r>
            <w:r>
              <w:rPr>
                <w:webHidden/>
              </w:rPr>
              <w:instrText xml:space="preserve">PAGEREF _Toc210082068 \h</w:instrText>
            </w:r>
            <w:r>
              <w:rPr>
                <w:webHidden/>
              </w:rPr>
              <w:fldChar w:fldCharType="separate"/>
            </w:r>
            <w:r>
              <w:rPr>
                <w:webHidden/>
                <w:rStyle w:val="IndexLink"/>
                <w:vanish w:val="false"/>
              </w:rPr>
              <w:t>Сврха ангажмана заинтересованих страна:</w:t>
              <w:tab/>
              <w:t>3</w:t>
            </w:r>
            <w:r>
              <w:rPr>
                <w:webHidden/>
              </w:rPr>
              <w:fldChar w:fldCharType="end"/>
            </w:r>
          </w:hyperlink>
        </w:p>
        <w:p>
          <w:pPr>
            <w:pStyle w:val="TOC1"/>
            <w:rPr>
              <w:rFonts w:ascii="Calibri" w:hAnsi="Calibri" w:eastAsia="" w:cs="" w:asciiTheme="minorHAnsi" w:cstheme="minorBidi" w:eastAsiaTheme="minorEastAsia" w:hAnsiTheme="minorHAnsi"/>
              <w:lang w:val="en-US" w:eastAsia="en-US"/>
            </w:rPr>
          </w:pPr>
          <w:hyperlink w:anchor="_Toc210082069">
            <w:r>
              <w:rPr>
                <w:webHidden/>
                <w:rStyle w:val="IndexLink"/>
                <w:b/>
                <w:vanish w:val="false"/>
              </w:rPr>
              <w:t>II.</w:t>
            </w:r>
            <w:r>
              <w:rPr>
                <w:rStyle w:val="IndexLink"/>
                <w:rFonts w:eastAsia="" w:cs="" w:cstheme="minorBidi" w:eastAsiaTheme="minorEastAsia"/>
                <w:lang w:val="en-US" w:eastAsia="en-US"/>
              </w:rPr>
              <w:tab/>
            </w:r>
            <w:r>
              <w:rPr>
                <w:rStyle w:val="IndexLink"/>
                <w:b/>
              </w:rPr>
              <w:t>Идентификација заинтересованих страна:</w:t>
            </w:r>
            <w:r>
              <w:rPr>
                <w:webHidden/>
              </w:rPr>
              <w:fldChar w:fldCharType="begin"/>
            </w:r>
            <w:r>
              <w:rPr>
                <w:webHidden/>
              </w:rPr>
              <w:instrText xml:space="preserve">PAGEREF _Toc210082069 \h</w:instrText>
            </w:r>
            <w:r>
              <w:rPr>
                <w:webHidden/>
              </w:rPr>
              <w:fldChar w:fldCharType="separate"/>
            </w:r>
            <w:r>
              <w:rPr>
                <w:rStyle w:val="IndexLink"/>
                <w:vanish w:val="false"/>
              </w:rPr>
              <w:tab/>
              <w:t>5</w:t>
            </w:r>
            <w:r>
              <w:rPr>
                <w:webHidden/>
              </w:rPr>
              <w:fldChar w:fldCharType="end"/>
            </w:r>
          </w:hyperlink>
        </w:p>
        <w:p>
          <w:pPr>
            <w:pStyle w:val="TOC1"/>
            <w:rPr>
              <w:rFonts w:ascii="Calibri" w:hAnsi="Calibri" w:eastAsia="" w:cs="" w:asciiTheme="minorHAnsi" w:cstheme="minorBidi" w:eastAsiaTheme="minorEastAsia" w:hAnsiTheme="minorHAnsi"/>
              <w:lang w:val="en-US" w:eastAsia="en-US"/>
            </w:rPr>
          </w:pPr>
          <w:hyperlink w:anchor="_Toc210082070">
            <w:r>
              <w:rPr>
                <w:webHidden/>
                <w:rStyle w:val="IndexLink"/>
                <w:b/>
                <w:vanish w:val="false"/>
              </w:rPr>
              <w:t>III.</w:t>
            </w:r>
            <w:r>
              <w:rPr>
                <w:rStyle w:val="IndexLink"/>
                <w:rFonts w:eastAsia="" w:cs="" w:cstheme="minorBidi" w:eastAsiaTheme="minorEastAsia"/>
                <w:lang w:val="en-US" w:eastAsia="en-US"/>
              </w:rPr>
              <w:tab/>
            </w:r>
            <w:r>
              <w:rPr>
                <w:rStyle w:val="IndexLink"/>
                <w:b/>
              </w:rPr>
              <w:t>Процедуре за решавање жалби или спорова</w:t>
            </w:r>
            <w:r>
              <w:rPr>
                <w:rStyle w:val="IndexLink"/>
                <w:vanish w:val="false"/>
              </w:rPr>
              <w:tab/>
            </w:r>
            <w:r>
              <w:rPr>
                <w:rStyle w:val="IndexLink"/>
                <w:vanish w:val="false"/>
                <w:lang w:val="sr-Latn-RS"/>
              </w:rPr>
              <w:t>1</w:t>
            </w:r>
            <w:r>
              <w:rPr>
                <w:webHidden/>
              </w:rPr>
              <w:fldChar w:fldCharType="begin"/>
            </w:r>
            <w:r>
              <w:rPr>
                <w:webHidden/>
              </w:rPr>
              <w:instrText xml:space="preserve">PAGEREF _Toc210082070 \h</w:instrText>
            </w:r>
            <w:r>
              <w:rPr>
                <w:webHidden/>
              </w:rPr>
              <w:fldChar w:fldCharType="separate"/>
            </w:r>
            <w:r>
              <w:rPr>
                <w:rStyle w:val="IndexLink"/>
                <w:vanish w:val="false"/>
              </w:rPr>
              <w:t>4</w:t>
            </w:r>
            <w:r>
              <w:rPr>
                <w:webHidden/>
              </w:rPr>
              <w:fldChar w:fldCharType="end"/>
            </w:r>
          </w:hyperlink>
        </w:p>
        <w:p>
          <w:pPr>
            <w:pStyle w:val="TOC1"/>
            <w:rPr>
              <w:rFonts w:ascii="Calibri" w:hAnsi="Calibri" w:eastAsia="" w:cs="" w:asciiTheme="minorHAnsi" w:cstheme="minorBidi" w:eastAsiaTheme="minorEastAsia" w:hAnsiTheme="minorHAnsi"/>
              <w:lang w:val="en-US" w:eastAsia="en-US"/>
            </w:rPr>
          </w:pPr>
          <w:hyperlink w:anchor="_Toc210082071">
            <w:r>
              <w:rPr>
                <w:webHidden/>
                <w:rStyle w:val="IndexLink"/>
                <w:vanish w:val="false"/>
              </w:rPr>
              <w:t>IV.</w:t>
            </w:r>
            <w:r>
              <w:rPr>
                <w:rStyle w:val="IndexLink"/>
                <w:rFonts w:eastAsia="" w:cs="" w:cstheme="minorBidi" w:eastAsiaTheme="minorEastAsia"/>
                <w:lang w:val="en-US" w:eastAsia="en-US"/>
              </w:rPr>
              <w:tab/>
            </w:r>
            <w:r>
              <w:rPr>
                <w:rStyle w:val="IndexLink"/>
              </w:rPr>
              <w:t>Праћење и извештавање:</w:t>
            </w:r>
            <w:r>
              <w:rPr>
                <w:webHidden/>
              </w:rPr>
              <w:fldChar w:fldCharType="begin"/>
            </w:r>
            <w:r>
              <w:rPr>
                <w:webHidden/>
              </w:rPr>
              <w:instrText xml:space="preserve">PAGEREF _Toc210082071 \h</w:instrText>
            </w:r>
            <w:r>
              <w:rPr>
                <w:webHidden/>
              </w:rPr>
              <w:fldChar w:fldCharType="separate"/>
            </w:r>
            <w:r>
              <w:rPr>
                <w:rStyle w:val="IndexLink"/>
                <w:vanish w:val="false"/>
              </w:rPr>
              <w:tab/>
              <w:t>15</w:t>
            </w:r>
            <w:r>
              <w:rPr>
                <w:webHidden/>
              </w:rPr>
              <w:fldChar w:fldCharType="end"/>
            </w:r>
          </w:hyperlink>
        </w:p>
        <w:p>
          <w:pPr>
            <w:pStyle w:val="TOC1"/>
            <w:rPr>
              <w:rFonts w:ascii="Calibri" w:hAnsi="Calibri" w:eastAsia="" w:cs="" w:asciiTheme="minorHAnsi" w:cstheme="minorBidi" w:eastAsiaTheme="minorEastAsia" w:hAnsiTheme="minorHAnsi"/>
              <w:lang w:eastAsia="en-US"/>
            </w:rPr>
          </w:pPr>
          <w:hyperlink w:anchor="_Toc210082072">
            <w:r>
              <w:rPr>
                <w:webHidden/>
                <w:rStyle w:val="IndexLink"/>
                <w:vanish w:val="false"/>
              </w:rPr>
              <w:t>V.</w:t>
            </w:r>
            <w:r>
              <w:rPr>
                <w:rStyle w:val="IndexLink"/>
                <w:rFonts w:eastAsia="" w:cs="" w:cstheme="minorBidi" w:eastAsiaTheme="minorEastAsia"/>
                <w:lang w:val="en-US" w:eastAsia="en-US"/>
              </w:rPr>
              <w:tab/>
            </w:r>
            <w:r>
              <w:rPr>
                <w:rStyle w:val="IndexLink"/>
              </w:rPr>
              <w:t>Одобрење и потписи:</w:t>
            </w:r>
            <w:r>
              <w:rPr>
                <w:rStyle w:val="IndexLink"/>
                <w:vanish w:val="false"/>
              </w:rPr>
              <w:tab/>
              <w:t>1</w:t>
            </w:r>
          </w:hyperlink>
          <w:r>
            <w:rPr/>
            <w:t>6</w:t>
          </w:r>
        </w:p>
        <w:p>
          <w:pPr>
            <w:pStyle w:val="TOC2"/>
            <w:tabs>
              <w:tab w:val="clear" w:pos="720"/>
              <w:tab w:val="right" w:pos="10070" w:leader="dot"/>
            </w:tabs>
            <w:ind w:left="0"/>
            <w:rPr>
              <w:rFonts w:ascii="Calibri" w:hAnsi="Calibri" w:eastAsia="" w:cs="" w:asciiTheme="minorHAnsi" w:cstheme="minorBidi" w:eastAsiaTheme="minorEastAsia" w:hAnsiTheme="minorHAnsi"/>
              <w:lang w:val="en-US" w:eastAsia="en-US"/>
            </w:rPr>
          </w:pPr>
          <w:hyperlink w:anchor="_Toc210082073">
            <w:r>
              <w:rPr>
                <w:webHidden/>
              </w:rPr>
              <w:fldChar w:fldCharType="begin"/>
            </w:r>
            <w:r>
              <w:rPr>
                <w:webHidden/>
              </w:rPr>
              <w:instrText xml:space="preserve">PAGEREF _Toc210082073 \h</w:instrText>
            </w:r>
            <w:r>
              <w:rPr>
                <w:webHidden/>
              </w:rPr>
              <w:fldChar w:fldCharType="separate"/>
            </w:r>
            <w:r>
              <w:rPr>
                <w:webHidden/>
                <w:rStyle w:val="IndexLink"/>
                <w:vanish w:val="false"/>
              </w:rPr>
              <w:t>Прилог 01-  Жалбени формулар</w:t>
              <w:tab/>
              <w:t>17</w:t>
            </w:r>
            <w:r>
              <w:rPr>
                <w:webHidden/>
              </w:rPr>
              <w:fldChar w:fldCharType="end"/>
            </w:r>
          </w:hyperlink>
        </w:p>
        <w:p>
          <w:pPr>
            <w:pStyle w:val="TOC1"/>
            <w:rPr>
              <w:rFonts w:ascii="Calibri" w:hAnsi="Calibri" w:eastAsia="" w:cs="" w:asciiTheme="minorHAnsi" w:cstheme="minorBidi" w:eastAsiaTheme="minorEastAsia" w:hAnsiTheme="minorHAnsi"/>
              <w:lang w:val="en-US" w:eastAsia="en-US"/>
            </w:rPr>
          </w:pPr>
          <w:hyperlink w:anchor="_Toc210082074">
            <w:r>
              <w:rPr>
                <w:webHidden/>
                <w:rStyle w:val="IndexLink"/>
                <w:vanish w:val="false"/>
              </w:rPr>
              <w:t>VI.</w:t>
            </w:r>
            <w:r>
              <w:rPr>
                <w:rStyle w:val="IndexLink"/>
                <w:rFonts w:eastAsia="" w:cs="" w:cstheme="minorBidi" w:eastAsiaTheme="minorEastAsia"/>
                <w:lang w:val="en-US" w:eastAsia="en-US"/>
              </w:rPr>
              <w:tab/>
            </w:r>
            <w:r>
              <w:rPr>
                <w:rStyle w:val="IndexLink"/>
              </w:rPr>
              <w:t>Прилог 02 – Евиденција решавања жалби на локалном нивоу</w:t>
            </w:r>
            <w:r>
              <w:rPr>
                <w:webHidden/>
              </w:rPr>
              <w:fldChar w:fldCharType="begin"/>
            </w:r>
            <w:r>
              <w:rPr>
                <w:webHidden/>
              </w:rPr>
              <w:instrText xml:space="preserve">PAGEREF _Toc210082074 \h</w:instrText>
            </w:r>
            <w:r>
              <w:rPr>
                <w:webHidden/>
              </w:rPr>
              <w:fldChar w:fldCharType="separate"/>
            </w:r>
            <w:r>
              <w:rPr>
                <w:rStyle w:val="IndexLink"/>
                <w:vanish w:val="false"/>
              </w:rPr>
              <w:tab/>
              <w:t>19</w:t>
            </w:r>
            <w:r>
              <w:rPr>
                <w:webHidden/>
              </w:rPr>
              <w:fldChar w:fldCharType="end"/>
            </w:r>
          </w:hyperlink>
        </w:p>
        <w:p>
          <w:pPr>
            <w:pStyle w:val="TOC1"/>
            <w:rPr>
              <w:rFonts w:ascii="Calibri" w:hAnsi="Calibri" w:eastAsia="" w:cs="" w:asciiTheme="minorHAnsi" w:cstheme="minorBidi" w:eastAsiaTheme="minorEastAsia" w:hAnsiTheme="minorHAnsi"/>
              <w:lang w:val="en-US" w:eastAsia="en-US"/>
            </w:rPr>
          </w:pPr>
          <w:hyperlink w:anchor="_Toc210082075">
            <w:r>
              <w:rPr>
                <w:webHidden/>
                <w:rStyle w:val="IndexLink"/>
                <w:vanish w:val="false"/>
              </w:rPr>
              <w:t>VII.</w:t>
            </w:r>
            <w:r>
              <w:rPr>
                <w:rStyle w:val="IndexLink"/>
                <w:rFonts w:eastAsia="" w:cs="" w:cstheme="minorBidi" w:eastAsiaTheme="minorEastAsia"/>
                <w:lang w:val="en-US" w:eastAsia="en-US"/>
              </w:rPr>
              <w:tab/>
            </w:r>
            <w:r>
              <w:rPr>
                <w:rStyle w:val="IndexLink"/>
              </w:rPr>
              <w:t>Евиденција решавања жалби на централном нивоу</w:t>
            </w:r>
            <w:r>
              <w:rPr>
                <w:rStyle w:val="IndexLink"/>
                <w:vanish w:val="false"/>
              </w:rPr>
              <w:tab/>
            </w:r>
            <w:r>
              <w:rPr>
                <w:webHidden/>
              </w:rPr>
              <w:fldChar w:fldCharType="begin"/>
            </w:r>
            <w:r>
              <w:rPr>
                <w:webHidden/>
              </w:rPr>
              <w:instrText xml:space="preserve">PAGEREF _Toc210082075 \h</w:instrText>
            </w:r>
            <w:r>
              <w:rPr>
                <w:webHidden/>
              </w:rPr>
              <w:fldChar w:fldCharType="separate"/>
            </w:r>
            <w:r>
              <w:rPr>
                <w:rStyle w:val="IndexLink"/>
                <w:vanish w:val="false"/>
                <w:lang w:val="sr-Latn-RS"/>
              </w:rPr>
              <w:t>19</w:t>
            </w:r>
            <w:r>
              <w:rPr>
                <w:webHidden/>
              </w:rPr>
              <w:fldChar w:fldCharType="end"/>
            </w:r>
          </w:hyperlink>
        </w:p>
        <w:p>
          <w:pPr>
            <w:pStyle w:val="TOC1"/>
            <w:rPr/>
          </w:pPr>
          <w:hyperlink w:anchor="_Toc210082076">
            <w:r>
              <w:rPr>
                <w:webHidden/>
                <w:rStyle w:val="IndexLink"/>
                <w:vanish w:val="false"/>
              </w:rPr>
              <w:t>VIII.</w:t>
            </w:r>
            <w:r>
              <w:rPr>
                <w:rStyle w:val="IndexLink"/>
                <w:rFonts w:eastAsia="" w:cs="" w:cstheme="minorBidi" w:eastAsiaTheme="minorEastAsia"/>
                <w:lang w:val="en-US" w:eastAsia="en-US"/>
              </w:rPr>
              <w:tab/>
            </w:r>
            <w:r>
              <w:rPr>
                <w:rStyle w:val="IndexLink"/>
              </w:rPr>
              <w:t>Прилог 03 –Интерни регистар укључивања заинтересованих страна</w:t>
            </w:r>
            <w:r>
              <w:rPr>
                <w:webHidden/>
              </w:rPr>
              <w:fldChar w:fldCharType="begin"/>
            </w:r>
            <w:r>
              <w:rPr>
                <w:webHidden/>
              </w:rPr>
              <w:instrText xml:space="preserve">PAGEREF _Toc210082076 \h</w:instrText>
            </w:r>
            <w:r>
              <w:rPr>
                <w:webHidden/>
              </w:rPr>
              <w:fldChar w:fldCharType="separate"/>
            </w:r>
            <w:r>
              <w:rPr>
                <w:rStyle w:val="IndexLink"/>
                <w:vanish w:val="false"/>
              </w:rPr>
              <w:tab/>
              <w:t>20</w:t>
            </w:r>
            <w:r>
              <w:rPr>
                <w:webHidden/>
              </w:rPr>
              <w:fldChar w:fldCharType="end"/>
            </w:r>
          </w:hyperlink>
        </w:p>
        <w:p>
          <w:pPr>
            <w:pStyle w:val="Normal"/>
            <w:rPr/>
          </w:pPr>
          <w:r>
            <w:rPr/>
            <w:t>Прилог 04 –Потенцијална зона директног утицаја реализације Потпројекта на становништво у Димитровграду....................................................................................................................................................</w:t>
          </w:r>
          <w:r>
            <w:rPr>
              <w:lang w:val="sr-Latn-RS"/>
            </w:rPr>
            <w:t>..2</w:t>
          </w:r>
          <w:r>
            <w:rPr/>
            <w:t xml:space="preserve">1 </w:t>
          </w:r>
        </w:p>
        <w:p>
          <w:pPr>
            <w:pStyle w:val="Normal"/>
            <w:rPr>
              <w:lang w:val="sr-Latn-RS"/>
            </w:rPr>
          </w:pPr>
          <w:r>
            <w:rPr/>
            <w:t>IX. Прилог 05 - Списак организација и фондација на територији Димитровграда ................</w:t>
          </w:r>
          <w:r>
            <w:rPr>
              <w:lang w:val="en-US"/>
            </w:rPr>
            <w:t>………………………</w:t>
          </w:r>
          <w:r>
            <w:rPr/>
            <w:t xml:space="preserve"> 22</w:t>
          </w:r>
        </w:p>
        <w:p>
          <w:pPr>
            <w:pStyle w:val="Normal"/>
            <w:rPr>
              <w:lang w:val="en-US"/>
            </w:rPr>
          </w:pPr>
          <w:r>
            <w:rPr>
              <w:lang w:val="en-US"/>
            </w:rPr>
            <w:t xml:space="preserve">      </w:t>
          </w:r>
          <w:r>
            <w:rPr/>
            <w:t xml:space="preserve">                                                               </w:t>
          </w:r>
        </w:p>
        <w:p>
          <w:pPr>
            <w:pStyle w:val="Normal"/>
            <w:rPr>
              <w:lang w:val="en-US"/>
            </w:rPr>
          </w:pPr>
          <w:r>
            <w:rPr>
              <w:lang w:val="en-US"/>
            </w:rPr>
          </w:r>
        </w:p>
        <w:p>
          <w:pPr>
            <w:pStyle w:val="Normal"/>
            <w:rPr>
              <w:lang w:val="en-US"/>
            </w:rPr>
          </w:pPr>
          <w:r>
            <w:rPr>
              <w:lang w:val="en-US"/>
            </w:rPr>
          </w:r>
        </w:p>
        <w:p>
          <w:pPr>
            <w:pStyle w:val="Normal"/>
            <w:rPr/>
          </w:pPr>
          <w:r>
            <w:rPr/>
          </w:r>
        </w:p>
        <w:p>
          <w:pPr>
            <w:pStyle w:val="Normal"/>
            <w:rPr>
              <w:lang w:val="en-US"/>
            </w:rPr>
          </w:pPr>
          <w:r>
            <w:rPr/>
            <w:t xml:space="preserve">  </w:t>
          </w:r>
          <w:r>
            <w:rPr/>
            <w:fldChar w:fldCharType="end"/>
          </w:r>
        </w:p>
      </w:sdtContent>
    </w:sdt>
    <w:p>
      <w:pPr>
        <w:pStyle w:val="TOC1"/>
        <w:rPr>
          <w:rFonts w:ascii="Calibri" w:hAnsi="Calibri" w:eastAsia="" w:cs="" w:asciiTheme="minorHAnsi" w:cstheme="minorBidi" w:eastAsiaTheme="minorEastAsia" w:hAnsiTheme="minorHAnsi"/>
          <w:lang w:val="en-US" w:eastAsia="en-US"/>
        </w:rPr>
      </w:pPr>
      <w:r>
        <w:rPr>
          <w:rFonts w:eastAsia="" w:cs="" w:cstheme="minorBidi" w:eastAsiaTheme="minorEastAsia"/>
          <w:lang w:val="en-US" w:eastAsia="en-US"/>
        </w:rPr>
      </w:r>
    </w:p>
    <w:p>
      <w:pPr>
        <w:pStyle w:val="Normal"/>
        <w:widowControl/>
        <w:bidi w:val="0"/>
        <w:spacing w:lineRule="auto" w:line="259" w:before="0" w:after="160"/>
        <w:jc w:val="left"/>
        <w:rPr/>
      </w:pPr>
      <w:r>
        <w:rPr/>
        <w:t xml:space="preserve"> </w:t>
      </w:r>
    </w:p>
    <w:p>
      <w:pPr>
        <w:pStyle w:val="Normal"/>
        <w:spacing w:lineRule="auto" w:line="240" w:before="0" w:after="240"/>
        <w:rPr>
          <w:color w:val="000000"/>
        </w:rPr>
      </w:pPr>
      <w:r>
        <w:rPr>
          <w:color w:val="000000"/>
        </w:rPr>
      </w:r>
    </w:p>
    <w:p>
      <w:pPr>
        <w:sectPr>
          <w:headerReference w:type="even" r:id="rId2"/>
          <w:headerReference w:type="default" r:id="rId3"/>
          <w:headerReference w:type="first" r:id="rId4"/>
          <w:footerReference w:type="even" r:id="rId5"/>
          <w:footerReference w:type="default" r:id="rId6"/>
          <w:footerReference w:type="first" r:id="rId7"/>
          <w:type w:val="nextPage"/>
          <w:pgSz w:w="12240" w:h="15840"/>
          <w:pgMar w:left="1080" w:right="1080" w:gutter="0" w:header="720" w:top="1440" w:footer="720" w:bottom="1440"/>
          <w:pgNumType w:start="0" w:fmt="decimal"/>
          <w:formProt w:val="false"/>
          <w:titlePg/>
          <w:textDirection w:val="lrTb"/>
          <w:docGrid w:type="default" w:linePitch="100" w:charSpace="0"/>
        </w:sectPr>
        <w:pStyle w:val="Normal"/>
        <w:spacing w:lineRule="auto" w:line="240" w:before="0" w:after="180"/>
        <w:rPr>
          <w:color w:val="000000"/>
          <w:sz w:val="27"/>
          <w:szCs w:val="27"/>
        </w:rPr>
      </w:pPr>
      <w:r>
        <w:rPr>
          <w:color w:val="000000"/>
          <w:sz w:val="27"/>
          <w:szCs w:val="27"/>
        </w:rPr>
      </w:r>
    </w:p>
    <w:p>
      <w:pPr>
        <w:pStyle w:val="Normal"/>
        <w:keepNext w:val="true"/>
        <w:keepLines/>
        <w:spacing w:before="120" w:after="120"/>
        <w:rPr>
          <w:color w:val="2F5496"/>
          <w:sz w:val="24"/>
          <w:szCs w:val="24"/>
        </w:rPr>
      </w:pPr>
      <w:r>
        <w:rPr>
          <w:color w:val="2F5496"/>
          <w:sz w:val="24"/>
          <w:szCs w:val="24"/>
        </w:rPr>
        <w:t>Списак скраћеница</w:t>
      </w:r>
    </w:p>
    <w:p>
      <w:pPr>
        <w:pStyle w:val="Normal"/>
        <w:spacing w:lineRule="auto" w:line="240" w:before="0" w:after="120"/>
        <w:rPr>
          <w:color w:val="000000"/>
        </w:rPr>
      </w:pPr>
      <w:r>
        <w:rPr>
          <w:color w:val="000000"/>
        </w:rPr>
        <w:t>Пројекат (LIID) – Пројекат развоја локалне инфраструктуре и институционалног развоја (LIID)</w:t>
      </w:r>
    </w:p>
    <w:p>
      <w:pPr>
        <w:pStyle w:val="Normal"/>
        <w:spacing w:lineRule="auto" w:line="240" w:before="0" w:after="120"/>
        <w:rPr>
          <w:color w:val="000000"/>
        </w:rPr>
      </w:pPr>
      <w:r>
        <w:rPr>
          <w:color w:val="000000"/>
        </w:rPr>
        <w:t xml:space="preserve">ИБРД – Међународна банка за обнову и развој </w:t>
      </w:r>
    </w:p>
    <w:p>
      <w:pPr>
        <w:pStyle w:val="Normal"/>
        <w:spacing w:lineRule="auto" w:line="240" w:before="0" w:after="120"/>
        <w:rPr>
          <w:color w:val="000000"/>
        </w:rPr>
      </w:pPr>
      <w:r>
        <w:rPr>
          <w:color w:val="000000"/>
          <w:sz w:val="24"/>
          <w:szCs w:val="24"/>
        </w:rPr>
        <w:t>АФД</w:t>
      </w:r>
      <w:r>
        <w:rPr>
          <w:color w:val="000000"/>
        </w:rPr>
        <w:t xml:space="preserve"> – </w:t>
      </w:r>
      <w:r>
        <w:rPr>
          <w:color w:val="000000"/>
          <w:sz w:val="24"/>
          <w:szCs w:val="24"/>
        </w:rPr>
        <w:t>Францускa агенција за развој</w:t>
      </w:r>
    </w:p>
    <w:p>
      <w:pPr>
        <w:pStyle w:val="Normal"/>
        <w:spacing w:lineRule="auto" w:line="240" w:before="0" w:after="120"/>
        <w:rPr>
          <w:color w:val="000000"/>
        </w:rPr>
      </w:pPr>
      <w:r>
        <w:rPr>
          <w:color w:val="000000"/>
        </w:rPr>
        <w:t xml:space="preserve">ЈЛС – Јединица локалне самоуправе </w:t>
      </w:r>
    </w:p>
    <w:p>
      <w:pPr>
        <w:pStyle w:val="Normal"/>
        <w:spacing w:lineRule="auto" w:line="240" w:before="0" w:after="120"/>
        <w:rPr>
          <w:color w:val="000000"/>
        </w:rPr>
      </w:pPr>
      <w:r>
        <w:rPr>
          <w:color w:val="000000"/>
        </w:rPr>
        <w:t xml:space="preserve">ЈУП – Јединица за управљање пројектима </w:t>
      </w:r>
    </w:p>
    <w:p>
      <w:pPr>
        <w:pStyle w:val="Normal"/>
        <w:spacing w:lineRule="auto" w:line="240" w:before="0" w:after="120"/>
        <w:rPr>
          <w:color w:val="000000"/>
        </w:rPr>
      </w:pPr>
      <w:r>
        <w:rPr>
          <w:color w:val="000000"/>
        </w:rPr>
        <w:t>ЖМ - Жалбени механизам</w:t>
      </w:r>
    </w:p>
    <w:p>
      <w:pPr>
        <w:pStyle w:val="Normal"/>
        <w:spacing w:lineRule="auto" w:line="240" w:before="0" w:after="120"/>
        <w:rPr>
          <w:color w:val="000000"/>
        </w:rPr>
      </w:pPr>
      <w:r>
        <w:rPr>
          <w:color w:val="000000"/>
        </w:rPr>
        <w:t xml:space="preserve">МГСИ – Министарство грађевинарства, саобраћаја и инфраструктуре </w:t>
      </w:r>
    </w:p>
    <w:p>
      <w:pPr>
        <w:pStyle w:val="Normal"/>
        <w:spacing w:lineRule="auto" w:line="240" w:before="0" w:after="120"/>
        <w:rPr>
          <w:color w:val="000000"/>
        </w:rPr>
      </w:pPr>
      <w:r>
        <w:rPr>
          <w:color w:val="000000"/>
        </w:rPr>
        <w:t xml:space="preserve">МФ – Министарство финансија </w:t>
      </w:r>
    </w:p>
    <w:p>
      <w:pPr>
        <w:pStyle w:val="Normal"/>
        <w:spacing w:lineRule="auto" w:line="240" w:before="0" w:after="120"/>
        <w:rPr>
          <w:color w:val="000000"/>
        </w:rPr>
      </w:pPr>
      <w:r>
        <w:rPr>
          <w:color w:val="000000"/>
        </w:rPr>
        <w:t xml:space="preserve">МЗЖС – Министарство заштите животне средине </w:t>
      </w:r>
    </w:p>
    <w:p>
      <w:pPr>
        <w:pStyle w:val="Normal"/>
        <w:spacing w:lineRule="auto" w:line="240" w:before="0" w:after="120"/>
        <w:rPr>
          <w:color w:val="000000"/>
        </w:rPr>
      </w:pPr>
      <w:r>
        <w:rPr>
          <w:color w:val="000000"/>
        </w:rPr>
        <w:t xml:space="preserve">НВО – Невладина организација </w:t>
      </w:r>
    </w:p>
    <w:p>
      <w:pPr>
        <w:pStyle w:val="Normal"/>
        <w:spacing w:lineRule="auto" w:line="240" w:before="0" w:after="120"/>
        <w:rPr>
          <w:color w:val="000000"/>
        </w:rPr>
      </w:pPr>
      <w:r>
        <w:rPr>
          <w:color w:val="000000"/>
        </w:rPr>
        <w:t>Стручни надзор ЈУП-а – Стручна лица за заштиту животне средине и социјална питања ангажована на пројекту, задужена за праћење имплементације</w:t>
      </w:r>
    </w:p>
    <w:p>
      <w:pPr>
        <w:pStyle w:val="Normal"/>
        <w:spacing w:lineRule="auto" w:line="240" w:before="0" w:after="120"/>
        <w:rPr>
          <w:color w:val="000000"/>
        </w:rPr>
      </w:pPr>
      <w:r>
        <w:rPr>
          <w:color w:val="000000"/>
        </w:rPr>
        <w:t xml:space="preserve">ЕСФ – Оквирни документ за управљање животном средином и социјалним окружењем </w:t>
      </w:r>
    </w:p>
    <w:p>
      <w:pPr>
        <w:pStyle w:val="Normal"/>
        <w:spacing w:lineRule="auto" w:line="240" w:before="0" w:after="120"/>
        <w:rPr>
          <w:color w:val="000000"/>
        </w:rPr>
      </w:pPr>
      <w:r>
        <w:rPr>
          <w:color w:val="000000"/>
        </w:rPr>
        <w:t>ЕСЦП  –  План заштите животне средине и социјалних питања</w:t>
      </w:r>
    </w:p>
    <w:p>
      <w:pPr>
        <w:pStyle w:val="Normal"/>
        <w:spacing w:lineRule="auto" w:line="240" w:before="0" w:after="120"/>
        <w:rPr>
          <w:color w:val="000000"/>
        </w:rPr>
      </w:pPr>
      <w:r>
        <w:rPr>
          <w:color w:val="000000"/>
        </w:rPr>
        <w:t>ЕСФ – Оквир животне средине и социјалних питања</w:t>
      </w:r>
    </w:p>
    <w:p>
      <w:pPr>
        <w:pStyle w:val="Normal"/>
        <w:spacing w:lineRule="auto" w:line="240" w:before="0" w:after="120"/>
        <w:rPr>
          <w:color w:val="000000"/>
        </w:rPr>
      </w:pPr>
      <w:r>
        <w:rPr>
          <w:color w:val="000000"/>
        </w:rPr>
        <w:t xml:space="preserve">ЕСИА – </w:t>
        <w:tab/>
        <w:t>Процена утицаја на животну средину и социјална питања</w:t>
      </w:r>
    </w:p>
    <w:p>
      <w:pPr>
        <w:pStyle w:val="Normal"/>
        <w:spacing w:lineRule="auto" w:line="240" w:before="0" w:after="120"/>
        <w:rPr>
          <w:color w:val="000000"/>
        </w:rPr>
      </w:pPr>
      <w:r>
        <w:rPr>
          <w:color w:val="000000"/>
        </w:rPr>
        <w:t>ЕСМФ – Оквир управљања животном средином и социјалним питањима</w:t>
      </w:r>
    </w:p>
    <w:p>
      <w:pPr>
        <w:pStyle w:val="Normal"/>
        <w:spacing w:lineRule="auto" w:line="240" w:before="0" w:after="120"/>
        <w:rPr>
          <w:color w:val="000000"/>
        </w:rPr>
      </w:pPr>
      <w:r>
        <w:rPr>
          <w:color w:val="000000"/>
        </w:rPr>
        <w:t>ЕСМП – План управљања животном средином и социјалним питањима</w:t>
      </w:r>
    </w:p>
    <w:p>
      <w:pPr>
        <w:pStyle w:val="Normal"/>
        <w:spacing w:lineRule="auto" w:line="240" w:before="0" w:after="120"/>
        <w:rPr>
          <w:color w:val="000000"/>
        </w:rPr>
      </w:pPr>
      <w:r>
        <w:rPr>
          <w:color w:val="000000"/>
        </w:rPr>
        <w:t>ЕСС – Еколошки и социјални стандарди</w:t>
      </w:r>
    </w:p>
    <w:p>
      <w:pPr>
        <w:pStyle w:val="Normal"/>
        <w:spacing w:lineRule="auto" w:line="240" w:before="0" w:after="120"/>
        <w:rPr>
          <w:color w:val="000000"/>
        </w:rPr>
      </w:pPr>
      <w:r>
        <w:rPr>
          <w:color w:val="000000"/>
        </w:rPr>
        <w:t>НВО – Невладина организација</w:t>
      </w:r>
    </w:p>
    <w:p>
      <w:pPr>
        <w:pStyle w:val="Normal"/>
        <w:spacing w:lineRule="auto" w:line="240" w:before="0" w:after="120"/>
        <w:rPr>
          <w:color w:val="000000"/>
        </w:rPr>
      </w:pPr>
      <w:r>
        <w:rPr>
          <w:color w:val="000000"/>
        </w:rPr>
        <w:t>БЗР – Безбедност и здравље на раду</w:t>
      </w:r>
    </w:p>
    <w:p>
      <w:pPr>
        <w:pStyle w:val="Normal"/>
        <w:spacing w:lineRule="auto" w:line="240" w:before="0" w:after="120"/>
        <w:rPr>
          <w:color w:val="000000"/>
        </w:rPr>
      </w:pPr>
      <w:r>
        <w:rPr>
          <w:color w:val="000000"/>
        </w:rPr>
        <w:t xml:space="preserve">ОПР – Оквирна политика расељавања </w:t>
      </w:r>
    </w:p>
    <w:p>
      <w:pPr>
        <w:pStyle w:val="Normal"/>
        <w:spacing w:lineRule="auto" w:line="240" w:before="0" w:after="120"/>
        <w:rPr>
          <w:color w:val="000000"/>
        </w:rPr>
      </w:pPr>
      <w:r>
        <w:rPr>
          <w:color w:val="000000"/>
        </w:rPr>
        <w:t xml:space="preserve">ОП/БП – Оперативна процедура / политика Банке </w:t>
      </w:r>
    </w:p>
    <w:p>
      <w:pPr>
        <w:pStyle w:val="Normal"/>
        <w:spacing w:lineRule="auto" w:line="240" w:before="0" w:after="120"/>
        <w:rPr>
          <w:color w:val="000000"/>
        </w:rPr>
      </w:pPr>
      <w:r>
        <w:rPr>
          <w:color w:val="000000"/>
        </w:rPr>
        <w:t xml:space="preserve">РС – Република Србија </w:t>
      </w:r>
    </w:p>
    <w:p>
      <w:pPr>
        <w:pStyle w:val="Normal"/>
        <w:spacing w:lineRule="auto" w:line="240" w:before="0" w:after="120"/>
        <w:rPr>
          <w:color w:val="000000"/>
        </w:rPr>
      </w:pPr>
      <w:r>
        <w:rPr>
          <w:color w:val="000000"/>
        </w:rPr>
        <w:t xml:space="preserve">СБ – Светска банка </w:t>
      </w:r>
    </w:p>
    <w:p>
      <w:pPr>
        <w:pStyle w:val="Normal"/>
        <w:spacing w:lineRule="auto" w:line="240" w:before="0" w:after="120"/>
        <w:rPr>
          <w:color w:val="000000"/>
        </w:rPr>
      </w:pPr>
      <w:r>
        <w:rPr>
          <w:color w:val="000000"/>
        </w:rPr>
        <w:t>СЕП – План укључивања заинтересованих страна</w:t>
      </w:r>
    </w:p>
    <w:p>
      <w:pPr>
        <w:sectPr>
          <w:headerReference w:type="even" r:id="rId8"/>
          <w:headerReference w:type="default" r:id="rId9"/>
          <w:headerReference w:type="first" r:id="rId10"/>
          <w:footerReference w:type="even" r:id="rId11"/>
          <w:footerReference w:type="default" r:id="rId12"/>
          <w:footerReference w:type="first" r:id="rId13"/>
          <w:type w:val="nextPage"/>
          <w:pgSz w:w="12240" w:h="15840"/>
          <w:pgMar w:left="1440" w:right="1440" w:gutter="0" w:header="720" w:top="1440" w:footer="720" w:bottom="1440"/>
          <w:pgNumType w:start="1" w:fmt="decimal"/>
          <w:formProt w:val="false"/>
          <w:titlePg/>
          <w:textDirection w:val="lrTb"/>
          <w:docGrid w:type="default" w:linePitch="100" w:charSpace="0"/>
        </w:sectPr>
        <w:pStyle w:val="Normal"/>
        <w:spacing w:lineRule="auto" w:line="240" w:before="0" w:after="120"/>
        <w:rPr>
          <w:color w:val="000000"/>
        </w:rPr>
      </w:pPr>
      <w:r>
        <w:rPr>
          <w:color w:val="000000"/>
        </w:rPr>
      </w:r>
    </w:p>
    <w:p>
      <w:pPr>
        <w:pStyle w:val="Heading1"/>
        <w:numPr>
          <w:ilvl w:val="0"/>
          <w:numId w:val="1"/>
        </w:numPr>
        <w:spacing w:before="280" w:after="280"/>
        <w:rPr>
          <w:b/>
          <w:color w:val="2F5496"/>
          <w:szCs w:val="28"/>
        </w:rPr>
      </w:pPr>
      <w:bookmarkStart w:id="0" w:name="_Toc210082066"/>
      <w:r>
        <w:rPr>
          <w:b/>
          <w:color w:val="2F5496"/>
          <w:szCs w:val="28"/>
        </w:rPr>
        <w:t>Увод</w:t>
      </w:r>
      <w:bookmarkEnd w:id="0"/>
      <w:r>
        <w:rPr>
          <w:b/>
          <w:color w:val="2F5496"/>
          <w:szCs w:val="28"/>
        </w:rPr>
        <w:t xml:space="preserve"> </w:t>
      </w:r>
    </w:p>
    <w:p>
      <w:pPr>
        <w:pStyle w:val="Normal"/>
        <w:jc w:val="both"/>
        <w:rPr/>
      </w:pPr>
      <w:r>
        <w:rPr/>
        <w:t>Пројекат „Пројекат развоја локалне инфраструктуре и институционалног јачања локалних самоуправa (P174251)“ (LIID) који се финансира из средстава МЕЂУНАРОДНЕ БАНКЕ ЗА ОБНОВУ И РАЗВОЈ (</w:t>
      </w:r>
      <w:r>
        <w:rPr>
          <w:color w:val="000000"/>
        </w:rPr>
        <w:t>IBRD</w:t>
      </w:r>
      <w:r>
        <w:rPr/>
        <w:t>)</w:t>
      </w:r>
      <w:r>
        <w:rPr>
          <w:color w:val="000000"/>
        </w:rPr>
        <w:t xml:space="preserve"> </w:t>
      </w:r>
      <w:r>
        <w:rPr/>
        <w:t xml:space="preserve">и ФРАНЦУСКЕ АГЕНЦИЈЕ ЗА РАЗВОЈ (АФД), а који спроводи Министарство грађевинарства, саобраћаја и инфраструктуре (МГСИ), директно ће користити грађанима, односно локалним самоуправама у Србији. </w:t>
      </w:r>
      <w:r>
        <w:rPr>
          <w:color w:val="000000"/>
        </w:rPr>
        <w:t>Циљ Пројекта јесте унапређење капацитета локалних самоуправа (ЈЛС) да управљају одрживом инфраструктуром и повећају доступност економским и друштвеним могућностима на климатски свестан начин</w:t>
      </w:r>
      <w:r>
        <w:rPr/>
        <w:t xml:space="preserve">. </w:t>
      </w:r>
    </w:p>
    <w:p>
      <w:pPr>
        <w:pStyle w:val="Normal"/>
        <w:jc w:val="both"/>
        <w:rPr>
          <w:color w:val="0000FF"/>
          <w:u w:val="single"/>
        </w:rPr>
      </w:pPr>
      <w:r>
        <w:rPr/>
        <w:t xml:space="preserve">Више о пројекту LIID се може наћи на следећој интернет страници: </w:t>
      </w:r>
      <w:hyperlink r:id="rId14">
        <w:r>
          <w:rPr>
            <w:rStyle w:val="Style3"/>
            <w:color w:val="0000FF"/>
            <w:u w:val="single"/>
          </w:rPr>
          <w:t>https://www.mgsi.gov.rs/</w:t>
        </w:r>
      </w:hyperlink>
    </w:p>
    <w:p>
      <w:pPr>
        <w:pStyle w:val="Normal"/>
        <w:jc w:val="both"/>
        <w:rPr/>
      </w:pPr>
      <w:r>
        <w:rPr/>
        <w:t xml:space="preserve">За потребе Пројекта LIID, поред осталих докумената којима се омогућава примена оперативних политика Светске банке, развијен је документ План укључивања заинтересованих страна на нивоу пројекта (СЕП на нивоу пројекта), који је основ за израду Плана укључивања заинтересованих страна за предметни потпројекат. </w:t>
      </w:r>
    </w:p>
    <w:p>
      <w:pPr>
        <w:pStyle w:val="Normal"/>
        <w:jc w:val="both"/>
        <w:rPr/>
      </w:pPr>
      <w:r>
        <w:rPr/>
        <w:t xml:space="preserve">Потпројекат </w:t>
      </w:r>
      <w:r>
        <w:rPr>
          <w:b/>
          <w:bCs/>
        </w:rPr>
        <w:t>„Реконструкција општинских путева Бребевница–Мазгош–Мојинци и Радејна–Петрлаш у Димитровграду“</w:t>
      </w:r>
      <w:r>
        <w:rPr/>
        <w:t xml:space="preserve"> (у даљем тексту: Потпројекат) биће реализован у оквиру Пројекта „Пројекат развоја локалне инфраструктуре и институционалног јачања локалних самоуправa - LIID)“ (у даљем тексту Пројекат). Овај СЕП се односи на реализацију Потпројекта.</w:t>
      </w:r>
    </w:p>
    <w:p>
      <w:pPr>
        <w:pStyle w:val="Normal"/>
        <w:jc w:val="both"/>
        <w:rPr/>
      </w:pPr>
      <w:r>
        <w:rPr/>
        <w:t>Димитровград или Цариброд је градско насеље у Србији и седиште истоимене општине у Пиротском управном округу. Према попису из 2022. било је 8.043 становника. Налази се на југоистоку земље, близу границе са Бугарском. Територија Димитровграда налази се у југоисточном делу Србије. Смештена је у источном пределу Пиротског округа у горњем току реке Нишаве. Димитровград се налази на 545 метара надморске висине, смештен на самој граници са Републиком Бугарском. Кроз град пролази Коридор 10 и железничка пруга Београд—Ниш—Софија. На око 2 km се налази гранични прелаз Градина између Србије и Бугарске.</w:t>
      </w:r>
    </w:p>
    <w:p>
      <w:pPr>
        <w:pStyle w:val="Normal"/>
        <w:jc w:val="both"/>
        <w:rPr/>
      </w:pPr>
      <w:r>
        <w:rPr>
          <w:lang w:val="en-US"/>
        </w:rPr>
        <w:t>Пројектно решење се односи на појачано одржавање локалног пута Бребевница – Мазгош – Мојинци, који повезује ова насеља са Димитровградом. Постојећи пут је брдско-планинске трасе, променљиве ширине коловоза (3,0–3,5 m), без проширења у кривинама и са бројним оштећењима конструкције, рупама и деформацијама услед неадекватног одводњавања. Постојећи цевасти пропусти су углавном нефункционални, а банкине зарасле и нестабилне.</w:t>
      </w:r>
    </w:p>
    <w:p>
      <w:pPr>
        <w:pStyle w:val="Normal"/>
        <w:jc w:val="both"/>
        <w:rPr/>
      </w:pPr>
      <w:r>
        <w:rPr>
          <w:lang w:val="en-US"/>
        </w:rPr>
        <w:t>Пројектом је предвиђено побољшање коловозне конструкције без значајног ширења, уз задржавање постојеће нивелације ради заштите прилаза и објеката у насељима. Усвојена ширина коловоза је 3,5 m, са банкинама од по 1м, са сваке стране. Конструкција пута обухвата слојеве туцаника и асфалта (БНХС 16, д=6 cm) са различитим дубинама носећих слојева у зависности од деонице.</w:t>
      </w:r>
    </w:p>
    <w:p>
      <w:pPr>
        <w:pStyle w:val="Normal"/>
        <w:jc w:val="both"/>
        <w:rPr/>
      </w:pPr>
      <w:r>
        <w:rPr>
          <w:lang w:val="en-US"/>
        </w:rPr>
        <w:t>За одводњавање су предвиђени нови цевасти пропусти Ø800 mm и уздужни канали, уз израду потпорног зида на критичним местима. Рачунска брзина пута је 40 km/h, без проширења у кривинама због уског појаса и ограничења експропријације. Радови ће значајно унапредити безбедност и функционалност овог локалног пута од важности за локално становништво и граничне службе.</w:t>
      </w:r>
    </w:p>
    <w:p>
      <w:pPr>
        <w:pStyle w:val="Normal"/>
        <w:jc w:val="both"/>
        <w:rPr/>
      </w:pPr>
      <w:r>
        <w:rPr>
          <w:lang w:val="en-US"/>
        </w:rPr>
        <w:t>У оквиру пројекта предвиђена су аутобуска стајалишта на локацијама које су одређене као повољне. Поред проширења трасе на местима аутобуских стајалишта, урађене су и мимоилазнице, на локацијама према стационажама из пројекта. Укупно је урађено 5 мимоилазница, како би се повећала безбедност саобраћаја.</w:t>
      </w:r>
    </w:p>
    <w:p>
      <w:pPr>
        <w:pStyle w:val="Normal"/>
        <w:jc w:val="both"/>
        <w:rPr/>
      </w:pPr>
      <w:r>
        <w:rPr>
          <w:lang w:val="en-US"/>
        </w:rPr>
        <w:t>Саобраћајна сигнализација предвиђа вертикалне знакове стандардног типа (најава опасних кривина, називи насеља, пешачка ограда на мосту) и хоризонталну сигнализацију у виду ивичних и зауставних линија.</w:t>
      </w:r>
    </w:p>
    <w:p>
      <w:pPr>
        <w:pStyle w:val="Normal"/>
        <w:jc w:val="both"/>
        <w:rPr/>
      </w:pPr>
      <w:r>
        <w:rPr>
          <w:b/>
          <w:bCs/>
          <w:lang w:val="en-US"/>
        </w:rPr>
        <w:t>Одводњавање и пропусти</w:t>
      </w:r>
    </w:p>
    <w:p>
      <w:pPr>
        <w:pStyle w:val="Normal"/>
        <w:jc w:val="both"/>
        <w:rPr/>
      </w:pPr>
      <w:r>
        <w:rPr>
          <w:lang w:val="en-US"/>
        </w:rPr>
        <w:t>Постојећи цевасти пропусти Ø600–Ø800 углавном су нефункционални, затрпани и ван употребе. Новим решењем предвиђена је уградња пропуста Ø800 са улазно-излазним главама и ревизионим шахтама на сваких 20 m. Површинско одводњавање решава се уздужним каналима и попречним падовима коловоза, како би се спречио продор воде у труп пута и отклонили узроци клизишта. На критичним местима планиран је потпорни зид висине до 2,0 m са дренажним слојем и барбаканама.</w:t>
      </w:r>
    </w:p>
    <w:p>
      <w:pPr>
        <w:pStyle w:val="Normal"/>
        <w:jc w:val="both"/>
        <w:rPr/>
      </w:pPr>
      <w:r>
        <w:rPr>
          <w:b/>
          <w:bCs/>
          <w:lang w:val="en-US"/>
        </w:rPr>
        <w:t>Уређење партера и зеленила</w:t>
      </w:r>
    </w:p>
    <w:p>
      <w:pPr>
        <w:pStyle w:val="Normal"/>
        <w:jc w:val="both"/>
        <w:rPr/>
      </w:pPr>
      <w:r>
        <w:rPr>
          <w:lang w:val="en-US"/>
        </w:rPr>
        <w:t>У оквиру пројекта врши се крчење самониклог шибља у зони трасе пута како би се обезбедило несметано отицање воде до канала и прегледност током вожње.</w:t>
      </w:r>
    </w:p>
    <w:p>
      <w:pPr>
        <w:pStyle w:val="Normal"/>
        <w:jc w:val="both"/>
        <w:rPr/>
      </w:pPr>
      <w:r>
        <w:rPr>
          <w:u w:val="single"/>
        </w:rPr>
        <w:t>Сажети опис пројекта</w:t>
      </w:r>
    </w:p>
    <w:p>
      <w:pPr>
        <w:pStyle w:val="Normal"/>
        <w:jc w:val="both"/>
        <w:rPr/>
      </w:pPr>
      <w:r>
        <w:rPr>
          <w:lang w:val="en-US"/>
        </w:rPr>
        <w:t>У оквиру пројекта врши се крчење самониклог шибља у зони трасе пута како би се обезбедило несметано отицање воде до канала и прегледност током вожње.</w:t>
      </w:r>
    </w:p>
    <w:p>
      <w:pPr>
        <w:pStyle w:val="Normal"/>
        <w:jc w:val="both"/>
        <w:rPr/>
      </w:pPr>
      <w:r>
        <w:rPr>
          <w:lang w:val="en-US"/>
        </w:rPr>
        <w:t>Пројекат обухвата локални пут Радејна – Петрлаш у општини Димитровград, у дужини од око 4.200m. Постојећи пут до сада није имао коловозну конструкцију, већ је био насут туцаником и шљунком. Пројектом је предвиђена коловозна конструкција за средње саобраћајно оптерећење: шљунак 0/63 дебљине 25 cm, дробина 0/31 дебљине 15 cm и асфалт БНХС 22 дебљине 7 cm. Траса пута има успоне до 14,11% и падове до 5,58%. У насељима Радејна и Петрлаш предвиђене су рампе (нивелациони прелази) за уклапање у дворишне улазе.</w:t>
      </w:r>
    </w:p>
    <w:p>
      <w:pPr>
        <w:pStyle w:val="Normal"/>
        <w:jc w:val="both"/>
        <w:rPr/>
      </w:pPr>
      <w:r>
        <w:rPr>
          <w:lang w:val="en-US"/>
        </w:rPr>
        <w:t>Одводњавање је решено чишћењем постојећих и изградњом нових канала, као и уградњом девет цевастих пропуста Ø800 mm са бетонским уливно-изливним главама.</w:t>
      </w:r>
    </w:p>
    <w:p>
      <w:pPr>
        <w:pStyle w:val="Normal"/>
        <w:jc w:val="both"/>
        <w:rPr/>
      </w:pPr>
      <w:r>
        <w:rPr>
          <w:lang w:val="en-US"/>
        </w:rPr>
        <w:t>Ширина коловоза је 3,5 m са банкинама од по 1м, обострано. На улазу у Петрлаш сужава се на 3,0 m, локално што је обележено саобраћајном сигнализацијом.  Задржана је постојећа геометрија, уз ограничење брзине од 40 km/h, односно 20–30 km/h на кривинама мањег радијуса.</w:t>
      </w:r>
    </w:p>
    <w:p>
      <w:pPr>
        <w:pStyle w:val="Normal"/>
        <w:jc w:val="both"/>
        <w:rPr/>
      </w:pPr>
      <w:r>
        <w:rPr>
          <w:lang w:val="en-US"/>
        </w:rPr>
        <w:t>Саобраћајна сигнализација предвиђа вертикалне знакове стандардног типа (најава опасних кривина, називи насеља, пешачка ограда на мосту) и хоризонталну сигнализацију у виду ивичних и зауставних линија.</w:t>
      </w:r>
    </w:p>
    <w:p>
      <w:pPr>
        <w:pStyle w:val="Normal"/>
        <w:jc w:val="both"/>
        <w:rPr/>
      </w:pPr>
      <w:r>
        <w:rPr>
          <w:lang w:val="en-US"/>
        </w:rPr>
        <w:t>На местима где је то било могуће, извршено је проширење пута, како би се извеле мимоилазнице (места за мимоилажење аутомобила) и на тај начин додатно повећала безбедност у саобраћају. Пројектовано је 10 миноилазница на овом путу.</w:t>
      </w:r>
    </w:p>
    <w:p>
      <w:pPr>
        <w:pStyle w:val="Normal"/>
        <w:jc w:val="both"/>
        <w:rPr/>
      </w:pPr>
      <w:r>
        <w:rPr>
          <w:lang w:val="en-US"/>
        </w:rPr>
        <w:t>У оквиру пројекта врши се крчење самониклог шибља у зони трасе пута како би се обезбедило несметано отицање воде до канала и прегледност током вожње.</w:t>
      </w:r>
    </w:p>
    <w:p>
      <w:pPr>
        <w:pStyle w:val="Normal"/>
        <w:jc w:val="both"/>
        <w:rPr/>
      </w:pPr>
      <w:r>
        <w:rPr/>
        <w:t xml:space="preserve">Више о Потпројекту </w:t>
      </w:r>
      <w:r>
        <w:rPr>
          <w:b/>
          <w:bCs/>
          <w:lang w:val="en-US"/>
        </w:rPr>
        <w:t>„Реконструкција општинских путева Бребевница–Мазгош–Мојинци и Радејна–Петрлаш у Димитровграду“</w:t>
      </w:r>
      <w:r>
        <w:rPr>
          <w:b/>
          <w:bCs/>
        </w:rPr>
        <w:t xml:space="preserve"> </w:t>
      </w:r>
      <w:r>
        <w:rPr/>
        <w:t>може се наћи на интернет страници Пројекта (</w:t>
      </w:r>
      <w:r>
        <w:rPr>
          <w:smallCaps/>
        </w:rPr>
        <w:t>LIID</w:t>
      </w:r>
      <w:r>
        <w:rPr/>
        <w:t xml:space="preserve">): </w:t>
      </w:r>
      <w:hyperlink r:id="rId15">
        <w:r>
          <w:rPr>
            <w:rStyle w:val="Style3"/>
            <w:color w:val="0000FF"/>
            <w:u w:val="single"/>
          </w:rPr>
          <w:t>https://www.mgsi.gov.rs/</w:t>
        </w:r>
      </w:hyperlink>
      <w:r>
        <w:rPr/>
        <w:t xml:space="preserve">, као и на интернет страници општине Димитровград: </w:t>
      </w:r>
      <w:hyperlink r:id="rId16">
        <w:r>
          <w:rPr>
            <w:rStyle w:val="Hyperlink"/>
          </w:rPr>
          <w:t>Opština Dimitrovgrad</w:t>
        </w:r>
      </w:hyperlink>
      <w:r>
        <w:rPr/>
        <w:t xml:space="preserve">  </w:t>
      </w:r>
    </w:p>
    <w:p>
      <w:pPr>
        <w:pStyle w:val="Heading2"/>
        <w:jc w:val="both"/>
        <w:rPr>
          <w:lang w:val="sr-Latn-RS"/>
        </w:rPr>
      </w:pPr>
      <w:bookmarkStart w:id="1" w:name="_Toc210082068"/>
      <w:r>
        <w:rPr/>
        <w:t>Сврха ангажмана заинтересованих страна:</w:t>
      </w:r>
      <w:bookmarkEnd w:id="1"/>
      <w:r>
        <w:rPr/>
        <w:t xml:space="preserve"> </w:t>
      </w:r>
    </w:p>
    <w:p>
      <w:pPr>
        <w:pStyle w:val="Normal"/>
        <w:jc w:val="both"/>
        <w:rPr/>
      </w:pPr>
      <w:r>
        <w:rPr/>
        <w:t xml:space="preserve">Циљ овог СЕП плана је идентификовање различитих група заинтересованих страна и пружање оквира за њихово укључивање током читавог периода реализације Потпројекта. План треба да побољша и олакша доношење одлука у вези са потпројектом и створи могућности за активно укључивање свих заинтересованих страна на благовремен начин, као и да пружи могућности свим заинтересованим странама да изразе своја мишљења и забринутости које могу утицати на одлуке о Пројекту и Потпројекту. Он такође описује жалбени механизам, процес који заинтересоване стране могу користити да изразе било какву забринутост у вези са пројектом, пружајући своја мишљења која могу утицати на имплементацију потпројекта и његове резултате, помоћи у отклањању евентуалних проблема током имплементације. </w:t>
      </w:r>
    </w:p>
    <w:p>
      <w:pPr>
        <w:pStyle w:val="Normal"/>
        <w:jc w:val="both"/>
        <w:rPr/>
      </w:pPr>
      <w:r>
        <w:rPr/>
        <w:t>Сврха СЕП-а је да унапреди ангажовање заинтересованих страна током животног циклуса Потпројекта и да се заинтересоване стране ангажују у складу са законима Републике Србије, као и захтевима Светске банке.</w:t>
      </w:r>
    </w:p>
    <w:p>
      <w:pPr>
        <w:pStyle w:val="Normal"/>
        <w:jc w:val="both"/>
        <w:rPr/>
      </w:pPr>
      <w:r>
        <w:rPr/>
      </w:r>
    </w:p>
    <w:p>
      <w:pPr>
        <w:pStyle w:val="Heading1"/>
        <w:numPr>
          <w:ilvl w:val="0"/>
          <w:numId w:val="1"/>
        </w:numPr>
        <w:spacing w:before="280" w:after="280"/>
        <w:jc w:val="both"/>
        <w:rPr>
          <w:b/>
        </w:rPr>
      </w:pPr>
      <w:bookmarkStart w:id="2" w:name="_Toc210082069"/>
      <w:r>
        <w:rPr>
          <w:b/>
        </w:rPr>
        <w:t>Идентификација заинтересованих страна:</w:t>
      </w:r>
      <w:bookmarkEnd w:id="2"/>
    </w:p>
    <w:p>
      <w:pPr>
        <w:pStyle w:val="Normal"/>
        <w:jc w:val="both"/>
        <w:rPr/>
      </w:pPr>
      <w:r>
        <w:rPr/>
        <w:t>Групе заинтересованих страна на које Потпројекат може утицати и/или су заинтересоване за имплементацију пројекта су представљене у наставку. Циљ идентификовања заинтересованих страна, који је уско повезан са идентификовањем утицаја, је да се утврди на које појединце и организације пројекат може утицати, директно или индиректно, позитивно или негативно, као и како би им се пружиле информације из прве руке и како би све групе заинтересованих страна биле благовремено ангажоване.</w:t>
      </w:r>
    </w:p>
    <w:p>
      <w:pPr>
        <w:pStyle w:val="Normal"/>
        <w:jc w:val="both"/>
        <w:rPr/>
      </w:pPr>
      <w:r>
        <w:rPr/>
        <w:t xml:space="preserve">Листа заинтересованих страна се може мењати у току процеса имплементације пројекта. Стога ће се редовно ревидирати и ажурирати током пројектног циклуса. Ризик који је повезан са сваком групом заинтересованих страна такође може бити подложан променама и биће поново процењен с времена на време. </w:t>
      </w:r>
    </w:p>
    <w:p>
      <w:pPr>
        <w:pStyle w:val="Normal"/>
        <w:jc w:val="both"/>
        <w:rPr/>
      </w:pPr>
      <w:r>
        <w:rPr/>
        <w:t xml:space="preserve">Списак заинтересованих страна треба да се ревидира на почетку фазе извођења радова. </w:t>
      </w:r>
    </w:p>
    <w:p>
      <w:pPr>
        <w:pStyle w:val="Normal"/>
        <w:jc w:val="both"/>
        <w:rPr/>
      </w:pPr>
      <w:r>
        <w:rPr/>
        <w:t>У документу СЕП за ниво Пројекта детаљно је описан ниво укључивања заинтересованих страна. Ниво укључивања заинтересованих страна зависиће од интереса и утицаја пројекта на ове групе, као и њиховог утицаја на сам програм. Како је дефинисано у СЕП-у за ниво пројекта за процену нивоа укључивања заинтересованих страна користи се следећа матрица утицаја/интереса:</w:t>
      </w:r>
    </w:p>
    <w:p>
      <w:pPr>
        <w:pStyle w:val="Normal"/>
        <w:jc w:val="both"/>
        <w:rPr/>
      </w:pPr>
      <w:r>
        <w:rPr/>
      </w:r>
    </w:p>
    <w:tbl>
      <w:tblPr>
        <w:tblStyle w:val="8"/>
        <w:tblW w:w="9072" w:type="dxa"/>
        <w:jc w:val="left"/>
        <w:tblInd w:w="108" w:type="dxa"/>
        <w:tblLayout w:type="fixed"/>
        <w:tblCellMar>
          <w:top w:w="0" w:type="dxa"/>
          <w:left w:w="115" w:type="dxa"/>
          <w:bottom w:w="0" w:type="dxa"/>
          <w:right w:w="115" w:type="dxa"/>
        </w:tblCellMar>
        <w:tblLook w:firstRow="0" w:noVBand="1" w:lastRow="0" w:firstColumn="0" w:lastColumn="0" w:noHBand="0" w:val="0400"/>
      </w:tblPr>
      <w:tblGrid>
        <w:gridCol w:w="1057"/>
        <w:gridCol w:w="2610"/>
        <w:gridCol w:w="2610"/>
        <w:gridCol w:w="1621"/>
        <w:gridCol w:w="1174"/>
      </w:tblGrid>
      <w:tr>
        <w:trPr>
          <w:trHeight w:val="215" w:hRule="atLeast"/>
        </w:trPr>
        <w:tc>
          <w:tcPr>
            <w:tcW w:w="1057" w:type="dxa"/>
            <w:tcBorders>
              <w:top w:val="single" w:sz="4" w:space="0" w:color="B4C6E7"/>
              <w:lef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b/>
                <w:color w:val="000000"/>
                <w:kern w:val="0"/>
                <w:sz w:val="20"/>
                <w:szCs w:val="20"/>
                <w:lang w:val="sr-RS" w:eastAsia="en-GB" w:bidi="ar-SA"/>
              </w:rPr>
              <w:t>Ниво</w:t>
            </w:r>
          </w:p>
        </w:tc>
        <w:tc>
          <w:tcPr>
            <w:tcW w:w="2610"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color w:val="000000"/>
                <w:kern w:val="0"/>
                <w:sz w:val="20"/>
                <w:szCs w:val="20"/>
                <w:lang w:val="sr-RS" w:eastAsia="en-GB" w:bidi="ar-SA"/>
              </w:rPr>
            </w:pPr>
            <w:r>
              <w:rPr>
                <w:rFonts w:eastAsia="Calibri" w:cs="Calibri"/>
                <w:color w:val="000000"/>
                <w:kern w:val="0"/>
                <w:sz w:val="20"/>
                <w:szCs w:val="20"/>
                <w:lang w:val="sr-RS" w:eastAsia="en-GB" w:bidi="ar-SA"/>
              </w:rPr>
            </w:r>
          </w:p>
        </w:tc>
        <w:tc>
          <w:tcPr>
            <w:tcW w:w="2610"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c>
          <w:tcPr>
            <w:tcW w:w="1621"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c>
          <w:tcPr>
            <w:tcW w:w="1174" w:type="dxa"/>
            <w:tcBorders>
              <w:top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r>
      <w:tr>
        <w:trPr>
          <w:trHeight w:val="300" w:hRule="atLeast"/>
        </w:trPr>
        <w:tc>
          <w:tcPr>
            <w:tcW w:w="1057"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C00000"/>
                <w:kern w:val="0"/>
                <w:sz w:val="20"/>
                <w:szCs w:val="20"/>
                <w:lang w:val="sr-RS" w:eastAsia="en-GB" w:bidi="ar-SA"/>
              </w:rPr>
              <w:t>Висок</w:t>
            </w:r>
          </w:p>
        </w:tc>
        <w:tc>
          <w:tcPr>
            <w:tcW w:w="2610"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Укључивање/ангажовање</w:t>
            </w:r>
          </w:p>
        </w:tc>
        <w:tc>
          <w:tcPr>
            <w:tcW w:w="2610"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Укључивање/ангажовање</w:t>
            </w:r>
          </w:p>
        </w:tc>
        <w:tc>
          <w:tcPr>
            <w:tcW w:w="1621"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Партнерство</w:t>
            </w:r>
          </w:p>
        </w:tc>
        <w:tc>
          <w:tcPr>
            <w:tcW w:w="1174"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r>
      <w:tr>
        <w:trPr>
          <w:trHeight w:val="300" w:hRule="atLeast"/>
        </w:trPr>
        <w:tc>
          <w:tcPr>
            <w:tcW w:w="1057"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BE591D"/>
                <w:kern w:val="0"/>
                <w:sz w:val="20"/>
                <w:szCs w:val="20"/>
                <w:lang w:val="sr-RS" w:eastAsia="en-GB" w:bidi="ar-SA"/>
              </w:rPr>
              <w:t>Средњи</w:t>
            </w:r>
          </w:p>
        </w:tc>
        <w:tc>
          <w:tcPr>
            <w:tcW w:w="2610" w:type="dxa"/>
            <w:tcBorders>
              <w:top w:val="single" w:sz="4" w:space="0" w:color="B4C6E7"/>
              <w:left w:val="single" w:sz="4" w:space="0" w:color="B4C6E7"/>
              <w:bottom w:val="single" w:sz="4" w:space="0" w:color="B4C6E7"/>
              <w:right w:val="single" w:sz="4" w:space="0" w:color="B4C6E7"/>
            </w:tcBorders>
            <w:shd w:color="auto" w:fill="E7F4DD"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Информисање</w:t>
            </w:r>
          </w:p>
        </w:tc>
        <w:tc>
          <w:tcPr>
            <w:tcW w:w="2610" w:type="dxa"/>
            <w:tcBorders>
              <w:top w:val="single" w:sz="4" w:space="0" w:color="B4C6E7"/>
              <w:left w:val="single" w:sz="4" w:space="0" w:color="B4C6E7"/>
              <w:bottom w:val="single" w:sz="4" w:space="0" w:color="B4C6E7"/>
              <w:right w:val="single" w:sz="4" w:space="0" w:color="B4C6E7"/>
            </w:tcBorders>
            <w:shd w:color="auto" w:fill="FDF3D5"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Консултација</w:t>
            </w:r>
          </w:p>
        </w:tc>
        <w:tc>
          <w:tcPr>
            <w:tcW w:w="1621" w:type="dxa"/>
            <w:tcBorders>
              <w:top w:val="single" w:sz="4" w:space="0" w:color="B4C6E7"/>
              <w:left w:val="single" w:sz="4" w:space="0" w:color="B4C6E7"/>
              <w:bottom w:val="single" w:sz="4" w:space="0" w:color="B4C6E7"/>
              <w:right w:val="single" w:sz="4" w:space="0" w:color="B4C6E7"/>
            </w:tcBorders>
            <w:shd w:color="auto" w:fill="FDF3D5"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Консултација</w:t>
            </w:r>
          </w:p>
        </w:tc>
        <w:tc>
          <w:tcPr>
            <w:tcW w:w="1174"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r>
      <w:tr>
        <w:trPr>
          <w:trHeight w:val="300" w:hRule="atLeast"/>
        </w:trPr>
        <w:tc>
          <w:tcPr>
            <w:tcW w:w="1057"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426F24"/>
                <w:kern w:val="0"/>
                <w:sz w:val="20"/>
                <w:szCs w:val="20"/>
                <w:lang w:val="sr-RS" w:eastAsia="en-GB" w:bidi="ar-SA"/>
              </w:rPr>
              <w:t>Низак</w:t>
            </w:r>
          </w:p>
        </w:tc>
        <w:tc>
          <w:tcPr>
            <w:tcW w:w="2610" w:type="dxa"/>
            <w:tcBorders>
              <w:top w:val="single" w:sz="4" w:space="0" w:color="B4C6E7"/>
              <w:left w:val="single" w:sz="4" w:space="0" w:color="B4C6E7"/>
              <w:bottom w:val="single" w:sz="4" w:space="0" w:color="B4C6E7"/>
              <w:right w:val="single" w:sz="4" w:space="0" w:color="B4C6E7"/>
            </w:tcBorders>
            <w:shd w:color="auto" w:fill="E7F4DD"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Информисање</w:t>
            </w:r>
          </w:p>
        </w:tc>
        <w:tc>
          <w:tcPr>
            <w:tcW w:w="2610" w:type="dxa"/>
            <w:tcBorders>
              <w:top w:val="single" w:sz="4" w:space="0" w:color="B4C6E7"/>
              <w:left w:val="single" w:sz="4" w:space="0" w:color="B4C6E7"/>
              <w:bottom w:val="single" w:sz="4" w:space="0" w:color="B4C6E7"/>
              <w:right w:val="single" w:sz="4" w:space="0" w:color="B4C6E7"/>
            </w:tcBorders>
            <w:shd w:color="auto" w:fill="E7F4DD"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Информисање</w:t>
            </w:r>
          </w:p>
        </w:tc>
        <w:tc>
          <w:tcPr>
            <w:tcW w:w="1621" w:type="dxa"/>
            <w:tcBorders>
              <w:top w:val="single" w:sz="4" w:space="0" w:color="B4C6E7"/>
              <w:left w:val="single" w:sz="4" w:space="0" w:color="B4C6E7"/>
              <w:bottom w:val="single" w:sz="4" w:space="0" w:color="B4C6E7"/>
              <w:right w:val="single" w:sz="4" w:space="0" w:color="B4C6E7"/>
            </w:tcBorders>
            <w:shd w:color="auto" w:fill="FDF3D5"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Кон</w:t>
            </w:r>
            <w:r>
              <w:rPr>
                <w:rFonts w:eastAsia="Calibri" w:cs="Calibri"/>
                <w:color w:val="000000"/>
                <w:kern w:val="0"/>
                <w:sz w:val="20"/>
                <w:szCs w:val="20"/>
                <w:shd w:fill="FDF3D5" w:val="clear"/>
                <w:lang w:val="sr-RS" w:eastAsia="en-GB" w:bidi="ar-SA"/>
              </w:rPr>
              <w:t>султација</w:t>
            </w:r>
          </w:p>
        </w:tc>
        <w:tc>
          <w:tcPr>
            <w:tcW w:w="1174" w:type="dxa"/>
            <w:tcBorders>
              <w:left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r>
      <w:tr>
        <w:trPr>
          <w:trHeight w:val="481" w:hRule="atLeast"/>
        </w:trPr>
        <w:tc>
          <w:tcPr>
            <w:tcW w:w="1057" w:type="dxa"/>
            <w:tcBorders>
              <w:left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c>
          <w:tcPr>
            <w:tcW w:w="2610"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426F24"/>
                <w:kern w:val="0"/>
                <w:sz w:val="20"/>
                <w:szCs w:val="20"/>
                <w:lang w:val="sr-RS" w:eastAsia="en-GB" w:bidi="ar-SA"/>
              </w:rPr>
              <w:t>Низак</w:t>
            </w:r>
          </w:p>
        </w:tc>
        <w:tc>
          <w:tcPr>
            <w:tcW w:w="2610"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BE591D"/>
                <w:kern w:val="0"/>
                <w:sz w:val="20"/>
                <w:szCs w:val="20"/>
                <w:lang w:val="sr-RS" w:eastAsia="en-GB" w:bidi="ar-SA"/>
              </w:rPr>
              <w:t>Средњи</w:t>
            </w:r>
          </w:p>
        </w:tc>
        <w:tc>
          <w:tcPr>
            <w:tcW w:w="1621" w:type="dxa"/>
            <w:tcBorders>
              <w:top w:val="single" w:sz="4" w:space="0" w:color="B4C6E7"/>
              <w:bottom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color w:val="C00000"/>
                <w:kern w:val="0"/>
                <w:sz w:val="20"/>
                <w:szCs w:val="20"/>
                <w:lang w:val="sr-RS" w:eastAsia="en-GB" w:bidi="ar-SA"/>
              </w:rPr>
              <w:t>Висок</w:t>
            </w:r>
          </w:p>
        </w:tc>
        <w:tc>
          <w:tcPr>
            <w:tcW w:w="1174" w:type="dxa"/>
            <w:tcBorders>
              <w:bottom w:val="single" w:sz="4" w:space="0" w:color="B4C6E7"/>
              <w:right w:val="single" w:sz="4" w:space="0" w:color="B4C6E7"/>
            </w:tcBorders>
            <w:shd w:color="auto" w:fill="FFFFFF" w:val="clear"/>
            <w:vAlign w:val="cente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b/>
                <w:color w:val="000000"/>
                <w:kern w:val="0"/>
                <w:sz w:val="20"/>
                <w:szCs w:val="20"/>
                <w:lang w:val="sr-RS" w:eastAsia="en-GB" w:bidi="ar-SA"/>
              </w:rPr>
              <w:t>Ниво интереса</w:t>
            </w:r>
          </w:p>
        </w:tc>
      </w:tr>
    </w:tbl>
    <w:p>
      <w:pPr>
        <w:pStyle w:val="Normal"/>
        <w:spacing w:before="0" w:after="60"/>
        <w:jc w:val="both"/>
        <w:rPr/>
      </w:pPr>
      <w:r>
        <w:rPr/>
      </w:r>
    </w:p>
    <w:tbl>
      <w:tblPr>
        <w:tblStyle w:val="7"/>
        <w:tblW w:w="9101" w:type="dxa"/>
        <w:jc w:val="left"/>
        <w:tblInd w:w="108" w:type="dxa"/>
        <w:tblLayout w:type="fixed"/>
        <w:tblCellMar>
          <w:top w:w="0" w:type="dxa"/>
          <w:left w:w="115" w:type="dxa"/>
          <w:bottom w:w="0" w:type="dxa"/>
          <w:right w:w="115" w:type="dxa"/>
        </w:tblCellMar>
        <w:tblLook w:firstRow="0" w:noVBand="1" w:lastRow="0" w:firstColumn="0" w:lastColumn="0" w:noHBand="0" w:val="0400"/>
      </w:tblPr>
      <w:tblGrid>
        <w:gridCol w:w="1166"/>
        <w:gridCol w:w="7934"/>
      </w:tblGrid>
      <w:tr>
        <w:trPr>
          <w:trHeight w:val="1048" w:hRule="atLeast"/>
        </w:trPr>
        <w:tc>
          <w:tcPr>
            <w:tcW w:w="1166" w:type="dxa"/>
            <w:vMerge w:val="restart"/>
            <w:tcBorders>
              <w:top w:val="single" w:sz="4" w:space="0" w:color="BDD7EE"/>
              <w:left w:val="single" w:sz="4" w:space="0" w:color="BDD7EE"/>
              <w:bottom w:val="single" w:sz="4" w:space="0" w:color="BDD7EE"/>
              <w:right w:val="single" w:sz="4" w:space="0" w:color="BDD7EE"/>
            </w:tcBorders>
            <w:shd w:color="auto" w:fill="FFFFFF" w:val="clear"/>
          </w:tcPr>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Fonts w:eastAsia="Calibri" w:cs="Calibri"/>
                <w:b/>
                <w:color w:val="262626"/>
                <w:kern w:val="0"/>
                <w:sz w:val="20"/>
                <w:szCs w:val="20"/>
                <w:lang w:val="sr-RS" w:eastAsia="en-GB" w:bidi="ar-SA"/>
              </w:rPr>
              <w:t>Кодирање бојама</w:t>
            </w:r>
          </w:p>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p>
            <w:pPr>
              <w:pStyle w:val="Normal"/>
              <w:widowControl/>
              <w:suppressAutoHyphens w:val="true"/>
              <w:spacing w:lineRule="auto" w:line="259" w:before="0" w:after="160"/>
              <w:jc w:val="both"/>
              <w:rPr>
                <w:rFonts w:ascii="Calibri" w:hAnsi="Calibri" w:eastAsia="Calibri" w:cs="Calibri"/>
                <w:kern w:val="0"/>
                <w:sz w:val="22"/>
                <w:szCs w:val="22"/>
                <w:lang w:val="sr-RS" w:eastAsia="en-GB" w:bidi="ar-SA"/>
              </w:rPr>
            </w:pPr>
            <w:r>
              <w:rPr/>
            </w:r>
          </w:p>
        </w:tc>
        <w:tc>
          <w:tcPr>
            <w:tcW w:w="7934" w:type="dxa"/>
            <w:tcBorders>
              <w:top w:val="single" w:sz="4" w:space="0" w:color="BDD7EE"/>
              <w:left w:val="single" w:sz="4" w:space="0" w:color="BDD7EE"/>
              <w:bottom w:val="single" w:sz="4" w:space="0" w:color="BDD7EE"/>
              <w:right w:val="single" w:sz="4" w:space="0" w:color="BDD7EE"/>
            </w:tcBorders>
            <w:shd w:color="auto" w:fill="E0A9A8" w:val="clear"/>
            <w:vAlign w:val="center"/>
          </w:tcPr>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b/>
                <w:color w:val="000000"/>
                <w:kern w:val="0"/>
                <w:sz w:val="20"/>
                <w:szCs w:val="20"/>
                <w:lang w:val="sr-RS" w:eastAsia="en-GB" w:bidi="ar-SA"/>
              </w:rPr>
              <w:t>Блиско укључивати и активно утицати:</w:t>
            </w:r>
          </w:p>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color w:val="000000"/>
                <w:kern w:val="0"/>
                <w:sz w:val="20"/>
                <w:szCs w:val="20"/>
                <w:lang w:val="sr-RS" w:eastAsia="en-GB" w:bidi="ar-SA"/>
              </w:rPr>
              <w:t>захтева редовно и често укључивање, најчешће лицем у лице  и неколико пута годишње, укључујући писано и усмено информисање</w:t>
            </w:r>
          </w:p>
        </w:tc>
      </w:tr>
      <w:tr>
        <w:trPr>
          <w:trHeight w:val="895" w:hRule="atLeast"/>
        </w:trPr>
        <w:tc>
          <w:tcPr>
            <w:tcW w:w="1166" w:type="dxa"/>
            <w:vMerge w:val="continue"/>
            <w:tcBorders>
              <w:top w:val="single" w:sz="4" w:space="0" w:color="BDD7EE"/>
              <w:left w:val="single" w:sz="4" w:space="0" w:color="BDD7EE"/>
              <w:bottom w:val="single" w:sz="4" w:space="0" w:color="BDD7EE"/>
              <w:right w:val="single" w:sz="4" w:space="0" w:color="BDD7EE"/>
            </w:tcBorders>
            <w:shd w:color="auto" w:fill="FFFFFF" w:val="clear"/>
          </w:tcPr>
          <w:p>
            <w:pPr>
              <w:pStyle w:val="Normal"/>
              <w:widowControl w:val="false"/>
              <w:suppressAutoHyphens w:val="true"/>
              <w:spacing w:lineRule="auto" w:line="276" w:before="0" w:after="0"/>
              <w:jc w:val="both"/>
              <w:rPr>
                <w:rFonts w:ascii="Calibri" w:hAnsi="Calibri" w:eastAsia="Calibri" w:cs="Calibri"/>
                <w:color w:val="000000"/>
                <w:kern w:val="0"/>
                <w:sz w:val="20"/>
                <w:szCs w:val="20"/>
                <w:lang w:val="sr-RS" w:eastAsia="en-GB" w:bidi="ar-SA"/>
              </w:rPr>
            </w:pPr>
            <w:r>
              <w:rPr>
                <w:rFonts w:eastAsia="Calibri" w:cs="Calibri"/>
                <w:color w:val="000000"/>
                <w:kern w:val="0"/>
                <w:sz w:val="20"/>
                <w:szCs w:val="20"/>
                <w:lang w:val="sr-RS" w:eastAsia="en-GB" w:bidi="ar-SA"/>
              </w:rPr>
            </w:r>
          </w:p>
        </w:tc>
        <w:tc>
          <w:tcPr>
            <w:tcW w:w="7934" w:type="dxa"/>
            <w:tcBorders>
              <w:top w:val="single" w:sz="4" w:space="0" w:color="BDD7EE"/>
              <w:left w:val="single" w:sz="4" w:space="0" w:color="BDD7EE"/>
              <w:bottom w:val="single" w:sz="4" w:space="0" w:color="BDD7EE"/>
              <w:right w:val="single" w:sz="4" w:space="0" w:color="BDD7EE"/>
            </w:tcBorders>
            <w:shd w:color="auto" w:fill="FFF2CC" w:val="clear"/>
            <w:vAlign w:val="center"/>
          </w:tcPr>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b/>
                <w:kern w:val="0"/>
                <w:sz w:val="20"/>
                <w:szCs w:val="20"/>
                <w:lang w:val="sr-RS" w:eastAsia="en-GB" w:bidi="ar-SA"/>
              </w:rPr>
              <w:t>Неговати информисаност и задовољство:</w:t>
            </w:r>
          </w:p>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kern w:val="0"/>
                <w:sz w:val="20"/>
                <w:szCs w:val="20"/>
                <w:lang w:val="sr-RS" w:eastAsia="en-GB" w:bidi="ar-SA"/>
              </w:rPr>
              <w:t>захтева редовно укључивање (нпр. шестомесечно), најчешће писменим информисањем</w:t>
            </w:r>
          </w:p>
        </w:tc>
      </w:tr>
      <w:tr>
        <w:trPr>
          <w:trHeight w:val="805" w:hRule="atLeast"/>
        </w:trPr>
        <w:tc>
          <w:tcPr>
            <w:tcW w:w="1166" w:type="dxa"/>
            <w:vMerge w:val="continue"/>
            <w:tcBorders>
              <w:top w:val="single" w:sz="4" w:space="0" w:color="BDD7EE"/>
              <w:left w:val="single" w:sz="4" w:space="0" w:color="BDD7EE"/>
              <w:bottom w:val="single" w:sz="4" w:space="0" w:color="BDD7EE"/>
              <w:right w:val="single" w:sz="4" w:space="0" w:color="BDD7EE"/>
            </w:tcBorders>
            <w:shd w:color="auto" w:fill="FFFFFF" w:val="clear"/>
          </w:tcPr>
          <w:p>
            <w:pPr>
              <w:pStyle w:val="Normal"/>
              <w:widowControl w:val="false"/>
              <w:suppressAutoHyphens w:val="true"/>
              <w:spacing w:lineRule="auto" w:line="276" w:before="0" w:after="0"/>
              <w:jc w:val="both"/>
              <w:rPr>
                <w:rFonts w:ascii="Calibri" w:hAnsi="Calibri" w:eastAsia="Calibri" w:cs="Calibri"/>
                <w:kern w:val="0"/>
                <w:sz w:val="20"/>
                <w:szCs w:val="20"/>
                <w:lang w:val="sr-RS" w:eastAsia="en-GB" w:bidi="ar-SA"/>
              </w:rPr>
            </w:pPr>
            <w:r>
              <w:rPr>
                <w:rFonts w:eastAsia="Calibri" w:cs="Calibri"/>
                <w:kern w:val="0"/>
                <w:sz w:val="20"/>
                <w:szCs w:val="20"/>
                <w:lang w:val="sr-RS" w:eastAsia="en-GB" w:bidi="ar-SA"/>
              </w:rPr>
            </w:r>
          </w:p>
        </w:tc>
        <w:tc>
          <w:tcPr>
            <w:tcW w:w="7934" w:type="dxa"/>
            <w:tcBorders>
              <w:top w:val="single" w:sz="4" w:space="0" w:color="BDD7EE"/>
              <w:left w:val="single" w:sz="4" w:space="0" w:color="BDD7EE"/>
              <w:bottom w:val="single" w:sz="4" w:space="0" w:color="BDD7EE"/>
              <w:right w:val="single" w:sz="4" w:space="0" w:color="BDD7EE"/>
            </w:tcBorders>
            <w:shd w:color="auto" w:fill="E7F4DD" w:val="clear"/>
            <w:vAlign w:val="center"/>
          </w:tcPr>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b/>
                <w:kern w:val="0"/>
                <w:sz w:val="20"/>
                <w:szCs w:val="20"/>
                <w:lang w:val="sr-RS" w:eastAsia="en-GB" w:bidi="ar-SA"/>
              </w:rPr>
              <w:t>Пратити:</w:t>
            </w:r>
          </w:p>
          <w:p>
            <w:pPr>
              <w:pStyle w:val="Normal"/>
              <w:widowControl/>
              <w:suppressAutoHyphens w:val="true"/>
              <w:spacing w:lineRule="auto" w:line="240" w:before="0" w:after="0"/>
              <w:jc w:val="both"/>
              <w:rPr>
                <w:rFonts w:ascii="Calibri" w:hAnsi="Calibri" w:eastAsia="Calibri" w:cs="Calibri"/>
                <w:kern w:val="0"/>
                <w:sz w:val="22"/>
                <w:szCs w:val="22"/>
                <w:lang w:val="sr-RS" w:eastAsia="en-GB" w:bidi="ar-SA"/>
              </w:rPr>
            </w:pPr>
            <w:r>
              <w:rPr>
                <w:rFonts w:eastAsia="Calibri" w:cs="Calibri"/>
                <w:kern w:val="0"/>
                <w:sz w:val="20"/>
                <w:szCs w:val="20"/>
                <w:lang w:val="sr-RS" w:eastAsia="en-GB" w:bidi="ar-SA"/>
              </w:rPr>
              <w:t>захтева повремено укључивање (нпр. једном годишње), најчешће индиректним писаним информисањем (нпр. масовни медији).</w:t>
            </w:r>
          </w:p>
        </w:tc>
      </w:tr>
    </w:tbl>
    <w:p>
      <w:pPr>
        <w:pStyle w:val="Normal"/>
        <w:jc w:val="both"/>
        <w:rPr/>
      </w:pPr>
      <w:r>
        <w:rPr/>
      </w:r>
    </w:p>
    <w:p>
      <w:pPr>
        <w:sectPr>
          <w:headerReference w:type="even" r:id="rId17"/>
          <w:headerReference w:type="default" r:id="rId18"/>
          <w:headerReference w:type="first" r:id="rId19"/>
          <w:footerReference w:type="even" r:id="rId20"/>
          <w:footerReference w:type="default" r:id="rId21"/>
          <w:footerReference w:type="first" r:id="rId22"/>
          <w:type w:val="nextPage"/>
          <w:pgSz w:w="12240" w:h="15840"/>
          <w:pgMar w:left="1440" w:right="1440" w:gutter="0" w:header="720" w:top="1440" w:footer="720" w:bottom="1440"/>
          <w:pgNumType w:start="1" w:fmt="decimal"/>
          <w:formProt w:val="false"/>
          <w:textDirection w:val="lrTb"/>
          <w:docGrid w:type="default" w:linePitch="100" w:charSpace="0"/>
        </w:sectPr>
        <w:pStyle w:val="Normal"/>
        <w:spacing w:before="0" w:after="160"/>
        <w:jc w:val="both"/>
        <w:rPr/>
      </w:pPr>
      <w:r>
        <w:rPr/>
        <w:t>Нису сви утицаји подједнако усмерени на све заинтересоване стране, јер на неке могу утицати субјективни унутрашњи или објективни спољни фактори. Заинтересоване стране су класификоване у следеће групе:</w:t>
      </w:r>
    </w:p>
    <w:p>
      <w:pPr>
        <w:pStyle w:val="Normal"/>
        <w:keepNext w:val="true"/>
        <w:keepLines/>
        <w:spacing w:before="120" w:after="120"/>
        <w:jc w:val="both"/>
        <w:rPr/>
      </w:pPr>
      <w:r>
        <w:rPr>
          <w:i/>
          <w:color w:val="2F5496"/>
          <w:sz w:val="24"/>
          <w:szCs w:val="24"/>
          <w:u w:val="single"/>
        </w:rPr>
        <w:t>Табела 1. Идентификоване заинтересоване стране за комуникацију током реализације Потпројекта</w:t>
      </w:r>
    </w:p>
    <w:tbl>
      <w:tblPr>
        <w:tblStyle w:val="6"/>
        <w:tblW w:w="13608" w:type="dxa"/>
        <w:jc w:val="left"/>
        <w:tblInd w:w="-145" w:type="dxa"/>
        <w:tblLayout w:type="fixed"/>
        <w:tblCellMar>
          <w:top w:w="0" w:type="dxa"/>
          <w:left w:w="108" w:type="dxa"/>
          <w:bottom w:w="0" w:type="dxa"/>
          <w:right w:w="108" w:type="dxa"/>
        </w:tblCellMar>
        <w:tblLook w:firstRow="1" w:noVBand="1" w:lastRow="0" w:firstColumn="1" w:lastColumn="0" w:noHBand="0" w:val="04a0"/>
      </w:tblPr>
      <w:tblGrid>
        <w:gridCol w:w="1842"/>
        <w:gridCol w:w="1560"/>
        <w:gridCol w:w="2499"/>
        <w:gridCol w:w="4318"/>
        <w:gridCol w:w="989"/>
        <w:gridCol w:w="863"/>
        <w:gridCol w:w="1536"/>
      </w:tblGrid>
      <w:tr>
        <w:trPr>
          <w:trHeight w:val="250" w:hRule="atLeast"/>
          <w:cnfStyle w:val="100000000000" w:firstRow="1" w:lastRow="0" w:firstColumn="0" w:lastColumn="0" w:oddVBand="0" w:evenVBand="0" w:oddHBand="0" w:evenHBand="0" w:firstRowFirstColumn="0" w:firstRowLastColumn="0" w:lastRowFirstColumn="0" w:lastRowLastColumn="0"/>
        </w:trPr>
        <w:tc>
          <w:tcPr>
            <w:tcW w:w="1842" w:type="dxa"/>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shd w:color="auto" w:fill="D9D9D9" w:val="clear"/>
            <w:vAlign w:val="center"/>
          </w:tcPr>
          <w:p>
            <w:pPr>
              <w:pStyle w:val="Normal"/>
              <w:widowControl/>
              <w:suppressAutoHyphens w:val="true"/>
              <w:spacing w:lineRule="auto" w:line="240"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Група</w:t>
            </w:r>
          </w:p>
        </w:tc>
        <w:tc>
          <w:tcPr>
            <w:tcW w:w="1560" w:type="dxa"/>
            <w:tcBorders>
              <w:top w:val="single" w:sz="4" w:space="0" w:color="B4C6E7"/>
              <w:left w:val="single" w:sz="4" w:space="0" w:color="B4C6E7"/>
              <w:bottom w:val="single" w:sz="4" w:space="0" w:color="B4C6E7"/>
              <w:right w:val="single" w:sz="4" w:space="0" w:color="B4C6E7"/>
            </w:tcBorders>
            <w:shd w:color="auto" w:fill="D9D9D9" w:val="clear"/>
            <w:vAlign w:val="center"/>
          </w:tcPr>
          <w:p>
            <w:pPr>
              <w:pStyle w:val="Normal"/>
              <w:widowControl/>
              <w:suppressAutoHyphens w:val="true"/>
              <w:spacing w:lineRule="auto" w:line="240" w:before="0" w:after="0"/>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Категорија</w:t>
            </w:r>
          </w:p>
        </w:tc>
        <w:tc>
          <w:tcPr>
            <w:tcW w:w="2499" w:type="dxa"/>
            <w:tcBorders>
              <w:top w:val="single" w:sz="4" w:space="0" w:color="B4C6E7"/>
              <w:left w:val="single" w:sz="4" w:space="0" w:color="B4C6E7"/>
              <w:bottom w:val="single" w:sz="4" w:space="0" w:color="B4C6E7"/>
              <w:right w:val="single" w:sz="4" w:space="0" w:color="B4C6E7"/>
            </w:tcBorders>
            <w:shd w:color="auto" w:fill="D9D9D9" w:val="clear"/>
            <w:vAlign w:val="center"/>
          </w:tcPr>
          <w:p>
            <w:pPr>
              <w:pStyle w:val="Normal"/>
              <w:widowControl/>
              <w:suppressAutoHyphens w:val="true"/>
              <w:spacing w:lineRule="auto" w:line="240" w:before="0" w:after="0"/>
              <w:ind w:left="258" w:right="-24"/>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4318"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tabs>
                <w:tab w:val="clear" w:pos="720"/>
                <w:tab w:val="left" w:pos="1116" w:leader="none"/>
              </w:tabs>
              <w:suppressAutoHyphens w:val="true"/>
              <w:spacing w:lineRule="auto" w:line="240" w:before="0" w:after="0"/>
              <w:ind w:hanging="2" w:right="-24"/>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Природа интересовања/очекивања</w:t>
            </w:r>
          </w:p>
        </w:tc>
        <w:tc>
          <w:tcPr>
            <w:tcW w:w="989"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ind w:left="-24" w:right="-106"/>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Ниво интереса</w:t>
            </w:r>
          </w:p>
        </w:tc>
        <w:tc>
          <w:tcPr>
            <w:tcW w:w="863"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ind w:left="-24" w:right="-184"/>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Ниво Утицаја</w:t>
            </w:r>
          </w:p>
        </w:tc>
        <w:tc>
          <w:tcPr>
            <w:tcW w:w="1536"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ind w:left="-102" w:right="-390"/>
              <w:jc w:val="both"/>
              <w:cnfStyle w:val="100000000000" w:firstRow="1" w:lastRow="0" w:firstColumn="0" w:lastColumn="0" w:oddVBand="0" w:evenVBand="0" w:oddHBand="0" w:evenHBand="0" w:firstRowFirstColumn="0" w:firstRowLastColumn="0" w:lastRowFirstColumn="0" w:lastRowLastColumn="0"/>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Ниво укључености</w:t>
            </w:r>
          </w:p>
        </w:tc>
      </w:tr>
      <w:tr>
        <w:trPr>
          <w:trHeight w:val="633" w:hRule="atLeast"/>
        </w:trPr>
        <w:tc>
          <w:tcPr>
            <w:tcW w:w="1842"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0"/>
                <w:szCs w:val="20"/>
                <w:lang w:val="sr-RS" w:eastAsia="en-GB" w:bidi="ar-SA"/>
              </w:rPr>
              <w:t>Заинтересоване стране на које Потпројекат  утиче</w:t>
            </w:r>
          </w:p>
        </w:tc>
        <w:tc>
          <w:tcPr>
            <w:tcW w:w="1560" w:type="dxa"/>
            <w:vMerge w:val="restart"/>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Институције на националном нивоу</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5"/>
              </w:numPr>
              <w:suppressAutoHyphens w:val="true"/>
              <w:spacing w:lineRule="auto" w:line="259" w:before="0" w:after="160"/>
              <w:ind w:hanging="180" w:left="101"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Министарство грађевинарства, саобраћаја и инфраструктуре;</w:t>
            </w:r>
          </w:p>
        </w:tc>
        <w:tc>
          <w:tcPr>
            <w:tcW w:w="4318" w:type="dxa"/>
            <w:tcBorders>
              <w:top w:val="single" w:sz="4" w:space="0" w:color="B4C6E7"/>
              <w:left w:val="single" w:sz="4" w:space="0" w:color="B4C6E7"/>
              <w:bottom w:val="single" w:sz="4" w:space="0" w:color="B4C6E7"/>
              <w:right w:val="single" w:sz="4" w:space="0" w:color="B4C6E7"/>
            </w:tcBorders>
            <w:vAlign w:val="center"/>
          </w:tcPr>
          <w:p>
            <w:pPr>
              <w:pStyle w:val="Normal"/>
              <w:widowControl/>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Главни пандан Светској банци за имплементацију пројеката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40" w:before="0" w:after="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Партнерство</w:t>
            </w:r>
          </w:p>
        </w:tc>
      </w:tr>
      <w:tr>
        <w:trPr>
          <w:trHeight w:val="236"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6"/>
              </w:numPr>
              <w:suppressAutoHyphens w:val="true"/>
              <w:spacing w:lineRule="auto" w:line="259" w:before="0" w:after="160"/>
              <w:ind w:hanging="174" w:left="174"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ЈУП јединица;</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Управљање и имплементација пројеката, надзор, извештавање, управљање финансијским, еколошким и друштвеним ризиком, управљање жалбама, имплементација и координација СЕП плана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40" w:before="0" w:after="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Партнерство</w:t>
            </w:r>
          </w:p>
        </w:tc>
      </w:tr>
      <w:tr>
        <w:trPr>
          <w:trHeight w:val="518"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Институције на регионалном и локалном нивоу</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9"/>
              </w:numPr>
              <w:suppressAutoHyphens w:val="true"/>
              <w:spacing w:lineRule="auto" w:line="259" w:before="0" w:after="0"/>
              <w:ind w:hanging="180" w:left="101"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Општина Димитровград</w:t>
            </w:r>
          </w:p>
          <w:p>
            <w:pPr>
              <w:pStyle w:val="Normal"/>
              <w:widowControl/>
              <w:numPr>
                <w:ilvl w:val="0"/>
                <w:numId w:val="8"/>
              </w:numPr>
              <w:suppressAutoHyphens w:val="true"/>
              <w:spacing w:lineRule="auto" w:line="259" w:before="0" w:after="0"/>
              <w:ind w:hanging="360" w:left="288"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Комисије и службе задужене за праћење Пројекта (LIID);</w:t>
            </w:r>
          </w:p>
          <w:p>
            <w:pPr>
              <w:pStyle w:val="Normal"/>
              <w:widowControl/>
              <w:numPr>
                <w:ilvl w:val="0"/>
                <w:numId w:val="8"/>
              </w:numPr>
              <w:suppressAutoHyphens w:val="true"/>
              <w:spacing w:lineRule="auto" w:line="259" w:before="0" w:after="160"/>
              <w:ind w:hanging="360" w:left="288"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Инспекцијске службе општине;</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Као крајњи корисник, локална самоуправа има велика очекивања од благовремене имплементације пројекта како би остварила погодности од економског развоја, нижих трошкова и уштеде времена, безбедности, користи за животну средину, као и других могућих позитивних пратећих ефеката.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40" w:before="0" w:after="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Партнерство</w:t>
            </w:r>
          </w:p>
        </w:tc>
      </w:tr>
      <w:tr>
        <w:trPr>
          <w:trHeight w:val="421"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Корисници предузећа и објеката јавних служби</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59" w:before="0" w:after="0"/>
              <w:ind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p>
            <w:pPr>
              <w:pStyle w:val="Normal"/>
              <w:widowControl w:val="false"/>
              <w:numPr>
                <w:ilvl w:val="0"/>
                <w:numId w:val="7"/>
              </w:numPr>
              <w:suppressAutoHyphens w:val="true"/>
              <w:spacing w:lineRule="auto" w:line="259" w:before="0" w:after="0"/>
              <w:ind w:hanging="360" w:left="708"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Центри за културу и образовање; туризам; спорт;  градско зеленило;  агенције за имовину и сл.</w:t>
            </w:r>
          </w:p>
        </w:tc>
        <w:tc>
          <w:tcPr>
            <w:tcW w:w="4318" w:type="dxa"/>
            <w:tcBorders>
              <w:top w:val="single" w:sz="4" w:space="0" w:color="B4C6E7"/>
              <w:left w:val="single" w:sz="4" w:space="0" w:color="B4C6E7"/>
              <w:bottom w:val="single" w:sz="4" w:space="0" w:color="B4C6E7"/>
              <w:right w:val="single" w:sz="4" w:space="0" w:color="B4C6E7"/>
            </w:tcBorders>
            <w:vAlign w:val="center"/>
          </w:tcPr>
          <w:p>
            <w:pPr>
              <w:pStyle w:val="Normal"/>
              <w:widowControl w:val="false"/>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Заинтересованост за утицај потпројекта на њихов живот и рад, несметано функционисање њихових институција.</w:t>
            </w:r>
          </w:p>
          <w:p>
            <w:pPr>
              <w:pStyle w:val="Normal"/>
              <w:widowControl w:val="false"/>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p>
            <w:pPr>
              <w:pStyle w:val="Normal"/>
              <w:widowControl w:val="false"/>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40" w:before="0" w:after="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40" w:before="0" w:after="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val="false"/>
              <w:suppressAutoHyphens w:val="true"/>
              <w:spacing w:lineRule="auto" w:line="240" w:before="0" w:after="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Консултација</w:t>
            </w:r>
          </w:p>
        </w:tc>
      </w:tr>
      <w:tr>
        <w:trPr>
          <w:trHeight w:val="647"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Становништво које може бити погођено било кроз привремена или трајна ограничења у погледу коришћења приватног  земљишта, откуп земљишта или присилно пресељење</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27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Нема откупа земљишта, не очекује се откуп земљишта, али потенцијално могу бити погођени становници улица у близини простора на коме ће се радити замена, у смислу ограничења или отежаног приступа својој имовини у току извођења радова</w:t>
            </w:r>
          </w:p>
        </w:tc>
        <w:tc>
          <w:tcPr>
            <w:tcW w:w="4318" w:type="dxa"/>
            <w:tcBorders>
              <w:top w:val="single" w:sz="4" w:space="0" w:color="B4C6E7"/>
              <w:left w:val="single" w:sz="4" w:space="0" w:color="B4C6E7"/>
              <w:bottom w:val="single" w:sz="4" w:space="0" w:color="B4C6E7"/>
              <w:right w:val="single" w:sz="4" w:space="0" w:color="B4C6E7"/>
            </w:tcBorders>
            <w:vAlign w:val="center"/>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Заинтересованост за утицај потпројекта на остваривање права, али и здравље и безбедност заједнице током изградње (бука, прашина, оштећења, емисије, вибрације)</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DF3D5"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518"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Становништво под утицајем Потпројекта</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27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Становници околних улица и улица у којима се врши замена (Мапа оквирне зоне утицаја, прилог 4)</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Забринутост за здравље и безбедност заједнице услед утицаја током радова (бука, прашина, оштећења, емисије, вибрације)</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70AD47"/>
                <w:kern w:val="0"/>
                <w:sz w:val="22"/>
                <w:szCs w:val="22"/>
                <w:lang w:val="sr-RS" w:eastAsia="en-GB" w:bidi="ar-SA"/>
              </w:rPr>
              <w:t>Низак</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829"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Представници привредних субјеката</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Сви привредни субјекти чије је пословање директно везано за околину</w:t>
            </w:r>
          </w:p>
        </w:tc>
        <w:tc>
          <w:tcPr>
            <w:tcW w:w="4318" w:type="dxa"/>
            <w:tcBorders>
              <w:top w:val="single" w:sz="4" w:space="0" w:color="B4C6E7"/>
              <w:left w:val="single" w:sz="4" w:space="0" w:color="B4C6E7"/>
              <w:bottom w:val="single" w:sz="4" w:space="0" w:color="B4C6E7"/>
              <w:right w:val="single" w:sz="4" w:space="0" w:color="B4C6E7"/>
            </w:tcBorders>
            <w:vAlign w:val="center"/>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Забринутост за ефикасност пословања, здравље и безбедност запослених и заједнице, посебно услед буке, оштећења, емисије, вибрације</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70AD47"/>
                <w:kern w:val="0"/>
                <w:sz w:val="22"/>
                <w:szCs w:val="22"/>
                <w:lang w:val="sr-RS" w:eastAsia="en-GB" w:bidi="ar-SA"/>
              </w:rPr>
              <w:t>Низак</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829" w:hRule="atLeast"/>
        </w:trPr>
        <w:tc>
          <w:tcPr>
            <w:tcW w:w="1842" w:type="dxa"/>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Појединци или групе у неповољном или угроженом положају</w:t>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Рањиве групе</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Потенцијално:</w:t>
            </w:r>
          </w:p>
          <w:p>
            <w:pPr>
              <w:pStyle w:val="Normal"/>
              <w:widowControl/>
              <w:numPr>
                <w:ilvl w:val="0"/>
                <w:numId w:val="2"/>
              </w:numPr>
              <w:tabs>
                <w:tab w:val="clear" w:pos="720"/>
                <w:tab w:val="center" w:pos="4680" w:leader="none"/>
                <w:tab w:val="right" w:pos="9360" w:leader="none"/>
              </w:tabs>
              <w:suppressAutoHyphens w:val="true"/>
              <w:spacing w:lineRule="auto" w:line="240" w:before="0" w:after="0"/>
              <w:ind w:hanging="180" w:left="16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Старије особе/пензионери;</w:t>
            </w:r>
          </w:p>
          <w:p>
            <w:pPr>
              <w:pStyle w:val="Normal"/>
              <w:widowControl/>
              <w:numPr>
                <w:ilvl w:val="0"/>
                <w:numId w:val="2"/>
              </w:numPr>
              <w:tabs>
                <w:tab w:val="clear" w:pos="720"/>
                <w:tab w:val="center" w:pos="4680" w:leader="none"/>
                <w:tab w:val="right" w:pos="9360" w:leader="none"/>
              </w:tabs>
              <w:suppressAutoHyphens w:val="true"/>
              <w:spacing w:lineRule="auto" w:line="240" w:before="0" w:after="0"/>
              <w:ind w:hanging="180" w:left="16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Особе са инвалидитетом и хроничним болестима;</w:t>
            </w:r>
          </w:p>
          <w:p>
            <w:pPr>
              <w:pStyle w:val="Normal"/>
              <w:widowControl/>
              <w:numPr>
                <w:ilvl w:val="0"/>
                <w:numId w:val="2"/>
              </w:numPr>
              <w:tabs>
                <w:tab w:val="clear" w:pos="720"/>
                <w:tab w:val="center" w:pos="4680" w:leader="none"/>
                <w:tab w:val="right" w:pos="9360" w:leader="none"/>
              </w:tabs>
              <w:suppressAutoHyphens w:val="true"/>
              <w:spacing w:lineRule="auto" w:line="240" w:before="0" w:after="0"/>
              <w:ind w:hanging="180" w:left="16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Економски маргинализоване и угрожене групе</w:t>
            </w:r>
          </w:p>
          <w:p>
            <w:pPr>
              <w:pStyle w:val="Normal"/>
              <w:widowControl/>
              <w:numPr>
                <w:ilvl w:val="0"/>
                <w:numId w:val="2"/>
              </w:numPr>
              <w:tabs>
                <w:tab w:val="clear" w:pos="720"/>
                <w:tab w:val="center" w:pos="4680" w:leader="none"/>
                <w:tab w:val="right" w:pos="9360" w:leader="none"/>
              </w:tabs>
              <w:suppressAutoHyphens w:val="true"/>
              <w:spacing w:lineRule="auto" w:line="240" w:before="0" w:after="0"/>
              <w:ind w:hanging="180" w:left="16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Домаћинства са самохраним родитељима</w:t>
            </w:r>
          </w:p>
          <w:p>
            <w:pPr>
              <w:pStyle w:val="Normal"/>
              <w:widowControl/>
              <w:numPr>
                <w:ilvl w:val="0"/>
                <w:numId w:val="2"/>
              </w:numPr>
              <w:tabs>
                <w:tab w:val="clear" w:pos="720"/>
                <w:tab w:val="center" w:pos="4680" w:leader="none"/>
                <w:tab w:val="right" w:pos="9360" w:leader="none"/>
              </w:tabs>
              <w:suppressAutoHyphens w:val="true"/>
              <w:spacing w:lineRule="auto" w:line="240" w:before="0" w:after="0"/>
              <w:ind w:hanging="180" w:left="16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Особе са ниском писменошћу и ИКТ знањем</w:t>
            </w:r>
          </w:p>
        </w:tc>
        <w:tc>
          <w:tcPr>
            <w:tcW w:w="4318" w:type="dxa"/>
            <w:tcBorders>
              <w:top w:val="single" w:sz="4" w:space="0" w:color="B4C6E7"/>
              <w:left w:val="single" w:sz="4" w:space="0" w:color="B4C6E7"/>
              <w:bottom w:val="single" w:sz="4" w:space="0" w:color="B4C6E7"/>
              <w:right w:val="single" w:sz="4" w:space="0" w:color="B4C6E7"/>
            </w:tcBorders>
            <w:vAlign w:val="center"/>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доступност, приуштивост пројектних улагања и како ће пројекат утицати на њих</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674" w:hRule="atLeast"/>
        </w:trPr>
        <w:tc>
          <w:tcPr>
            <w:tcW w:w="1842"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t>Остале заинтересоване стране</w:t>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Светска Банка</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постизање циљева пројектног развоја и усклађеност са еколошким и социјалним стандардима пројекта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DC9E9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Партнерство</w:t>
            </w:r>
          </w:p>
        </w:tc>
      </w:tr>
      <w:tr>
        <w:trPr>
          <w:trHeight w:val="332"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restart"/>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Установе на националном нивоу</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Влада Републике Србије</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постизање циљева укупног развоја  друштва и усклађеност са еколошким и социјалним стандардима Светске банке</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Партнерство</w:t>
            </w:r>
          </w:p>
        </w:tc>
      </w:tr>
      <w:tr>
        <w:trPr>
          <w:trHeight w:val="458"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Министарство финансија</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Надзор над Уговором о кредиту</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1536" w:type="dxa"/>
            <w:tcBorders>
              <w:top w:val="single" w:sz="4" w:space="0" w:color="B4C6E7"/>
              <w:left w:val="single" w:sz="4" w:space="0" w:color="B4C6E7"/>
              <w:bottom w:val="single" w:sz="4" w:space="0" w:color="B4C6E7"/>
              <w:right w:val="single" w:sz="4" w:space="0" w:color="B4C6E7"/>
            </w:tcBorders>
            <w:shd w:color="auto" w:fill="E0A9A8"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Партнерство</w:t>
            </w:r>
          </w:p>
        </w:tc>
      </w:tr>
      <w:tr>
        <w:trPr>
          <w:trHeight w:val="365"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Републичке инспекцијске службе</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спровођење законских захтева у свим аспектима пројектне имплементације са нагласком на период током грађевинских активности.</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278"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Академске институције</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Заинтересованост за идејно решење и имплементацију Пројекта/Потпројекта може пружити платформу за размену знања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426F24"/>
                <w:kern w:val="0"/>
                <w:sz w:val="22"/>
                <w:szCs w:val="22"/>
                <w:lang w:val="sr-RS" w:eastAsia="en-GB" w:bidi="ar-SA"/>
              </w:rPr>
              <w:t>Низак</w:t>
            </w:r>
          </w:p>
        </w:tc>
        <w:tc>
          <w:tcPr>
            <w:tcW w:w="1536" w:type="dxa"/>
            <w:tcBorders>
              <w:top w:val="single" w:sz="4" w:space="0" w:color="B4C6E7"/>
              <w:left w:val="single" w:sz="4" w:space="0" w:color="B4C6E7"/>
              <w:bottom w:val="single" w:sz="4" w:space="0" w:color="B4C6E7"/>
              <w:right w:val="single" w:sz="4" w:space="0" w:color="B4C6E7"/>
            </w:tcBorders>
            <w:shd w:color="auto" w:fill="E2EFD9"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Информисање</w:t>
            </w:r>
          </w:p>
        </w:tc>
      </w:tr>
      <w:tr>
        <w:trPr>
          <w:trHeight w:val="1692"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b/>
                <w:color w:val="000000"/>
                <w:kern w:val="0"/>
                <w:sz w:val="22"/>
                <w:szCs w:val="22"/>
                <w:lang w:val="sr-RS" w:eastAsia="en-GB" w:bidi="ar-SA"/>
              </w:rPr>
              <w:t>Екстерне заинтересоване стране на које утиче Потпројекат</w:t>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ind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b/>
                <w:color w:val="000000"/>
                <w:kern w:val="0"/>
                <w:sz w:val="22"/>
                <w:szCs w:val="22"/>
                <w:lang w:val="sr-RS" w:eastAsia="en-GB" w:bidi="ar-SA"/>
              </w:rPr>
              <w:t>Организације цивилног друштва и удружења</w:t>
            </w:r>
            <w:r>
              <w:rPr>
                <w:rFonts w:eastAsia="Calibri" w:cs="Calibri"/>
                <w:b/>
                <w:color w:val="000000"/>
                <w:kern w:val="0"/>
                <w:sz w:val="22"/>
                <w:szCs w:val="22"/>
                <w:lang w:val="sr-Latn-RS" w:eastAsia="en-GB" w:bidi="ar-SA"/>
              </w:rPr>
              <w:t xml:space="preserve"> </w:t>
            </w:r>
            <w:r>
              <w:rPr>
                <w:rFonts w:eastAsia="Calibri" w:cs="Calibri"/>
                <w:b/>
                <w:color w:val="000000"/>
                <w:kern w:val="0"/>
                <w:sz w:val="22"/>
                <w:szCs w:val="22"/>
                <w:lang w:val="sr-RS" w:eastAsia="en-GB" w:bidi="ar-SA"/>
              </w:rPr>
              <w:t>(списак на крају документа)</w:t>
            </w:r>
          </w:p>
          <w:p>
            <w:pPr>
              <w:pStyle w:val="Normal"/>
              <w:widowControl/>
              <w:suppressAutoHyphens w:val="true"/>
              <w:spacing w:lineRule="auto" w:line="240" w:before="0" w:after="0"/>
              <w:ind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Заинтересованост за погодности пројекта али и потенцијалне утицаје/ризике по животну и друштвену средину, као и за здравље и безбедност заједнице</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426F24"/>
                <w:kern w:val="0"/>
                <w:sz w:val="22"/>
                <w:szCs w:val="22"/>
                <w:lang w:val="sr-RS" w:eastAsia="en-GB" w:bidi="ar-SA"/>
              </w:rPr>
              <w:t>Низак</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1696" w:hRule="atLeast"/>
        </w:trPr>
        <w:tc>
          <w:tcPr>
            <w:tcW w:w="1842"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both"/>
              <w:rPr>
                <w:rFonts w:ascii="Calibri" w:hAnsi="Calibri" w:eastAsia="Calibri" w:cs="Calibri"/>
                <w:b/>
                <w:color w:val="2F5496"/>
                <w:kern w:val="0"/>
                <w:sz w:val="22"/>
                <w:szCs w:val="22"/>
                <w:lang w:val="sr-RS" w:eastAsia="en-GB" w:bidi="ar-SA"/>
              </w:rPr>
            </w:pPr>
            <w:r>
              <w:rPr>
                <w:rFonts w:eastAsia="Calibri" w:cs="Calibri"/>
                <w:b/>
                <w:color w:val="2F5496"/>
                <w:kern w:val="0"/>
                <w:sz w:val="22"/>
                <w:szCs w:val="22"/>
                <w:lang w:val="sr-RS" w:eastAsia="en-GB" w:bidi="ar-SA"/>
              </w:rPr>
            </w:r>
          </w:p>
        </w:tc>
        <w:tc>
          <w:tcPr>
            <w:tcW w:w="1560" w:type="dxa"/>
            <w:vMerge w:val="restart"/>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Локални медији</w:t>
            </w:r>
          </w:p>
          <w:p>
            <w:pPr>
              <w:pStyle w:val="Normal"/>
              <w:widowControl/>
              <w:numPr>
                <w:ilvl w:val="0"/>
                <w:numId w:val="8"/>
              </w:numPr>
              <w:suppressAutoHyphens w:val="true"/>
              <w:spacing w:lineRule="auto" w:line="259"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Radio Televizija Caribrod (RT Caribрод)</w:t>
            </w:r>
          </w:p>
          <w:p>
            <w:pPr>
              <w:pStyle w:val="Normal"/>
              <w:widowControl/>
              <w:numPr>
                <w:ilvl w:val="0"/>
                <w:numId w:val="8"/>
              </w:numPr>
              <w:suppressAutoHyphens w:val="true"/>
              <w:spacing w:lineRule="auto" w:line="259"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Званични портал општине Димитровград (dimitrovgrad.rs)</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Омогућавају широко и редовно ширење информација везаних за пројекат, осигуравају његову видљивост и олакшавају укључивање заинтересованих страна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426F24"/>
                <w:kern w:val="0"/>
                <w:sz w:val="22"/>
                <w:szCs w:val="22"/>
                <w:lang w:val="sr-RS" w:eastAsia="en-GB" w:bidi="ar-SA"/>
              </w:rPr>
              <w:t>Низак</w:t>
            </w:r>
          </w:p>
        </w:tc>
        <w:tc>
          <w:tcPr>
            <w:tcW w:w="1536" w:type="dxa"/>
            <w:tcBorders>
              <w:top w:val="single" w:sz="4" w:space="0" w:color="B4C6E7"/>
              <w:left w:val="single" w:sz="4" w:space="0" w:color="B4C6E7"/>
              <w:bottom w:val="single" w:sz="4" w:space="0" w:color="B4C6E7"/>
              <w:right w:val="single" w:sz="4" w:space="0" w:color="B4C6E7"/>
            </w:tcBorders>
            <w:shd w:color="auto" w:fill="E2EFD9"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Информисање</w:t>
            </w:r>
          </w:p>
        </w:tc>
      </w:tr>
      <w:tr>
        <w:trPr>
          <w:trHeight w:val="1024"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Потенцијални извођач(и), подизвођач(и) и њихови радници</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праћење и транспарентност тендерских процедура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563"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Потенцијални инжењер(и) за надзор грађевинских радова и њихови радници</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Заинтересовани за учешће у различитим тендерским процедурама у фази реализације реконструкције улица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00000"/>
                <w:kern w:val="0"/>
                <w:sz w:val="22"/>
                <w:szCs w:val="22"/>
                <w:lang w:val="sr-RS" w:eastAsia="en-GB" w:bidi="ar-SA"/>
              </w:rPr>
              <w:t>Висок</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r>
        <w:trPr>
          <w:trHeight w:val="833" w:hRule="atLeast"/>
        </w:trPr>
        <w:tc>
          <w:tcPr>
            <w:tcW w:w="1842"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both"/>
              <w:rPr>
                <w:rFonts w:ascii="Calibri" w:hAnsi="Calibri" w:eastAsia="Calibri" w:cs="Calibri"/>
                <w:b/>
                <w:color w:val="000000"/>
                <w:kern w:val="0"/>
                <w:sz w:val="22"/>
                <w:szCs w:val="22"/>
                <w:lang w:val="sr-RS" w:eastAsia="en-GB" w:bidi="ar-SA"/>
              </w:rPr>
            </w:pPr>
            <w:r>
              <w:rPr>
                <w:rFonts w:eastAsia="Calibri" w:cs="Calibri"/>
                <w:b/>
                <w:color w:val="000000"/>
                <w:kern w:val="0"/>
                <w:sz w:val="22"/>
                <w:szCs w:val="22"/>
                <w:lang w:val="sr-RS" w:eastAsia="en-GB" w:bidi="ar-SA"/>
              </w:rPr>
            </w:r>
          </w:p>
        </w:tc>
        <w:tc>
          <w:tcPr>
            <w:tcW w:w="1560" w:type="dxa"/>
            <w:vMerge w:val="continue"/>
            <w:tcBorders>
              <w:top w:val="single" w:sz="4" w:space="0" w:color="B4C6E7"/>
              <w:left w:val="single" w:sz="4" w:space="0" w:color="B4C6E7"/>
              <w:bottom w:val="single" w:sz="4" w:space="0" w:color="B4C6E7"/>
              <w:right w:val="single" w:sz="4" w:space="0" w:color="B4C6E7"/>
            </w:tcBorders>
            <w:vAlign w:val="center"/>
          </w:tcPr>
          <w:p>
            <w:pPr>
              <w:pStyle w:val="Normal"/>
              <w:widowControl w:val="false"/>
              <w:suppressAutoHyphens w:val="true"/>
              <w:spacing w:lineRule="auto" w:line="276"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000000"/>
                <w:kern w:val="0"/>
                <w:sz w:val="22"/>
                <w:szCs w:val="22"/>
                <w:lang w:val="sr-RS" w:eastAsia="en-GB" w:bidi="ar-SA"/>
              </w:rPr>
            </w:pPr>
            <w:r>
              <w:rPr>
                <w:rFonts w:eastAsia="Calibri" w:cs="Calibri"/>
                <w:color w:val="000000"/>
                <w:kern w:val="0"/>
                <w:sz w:val="22"/>
                <w:szCs w:val="22"/>
                <w:lang w:val="sr-RS" w:eastAsia="en-GB" w:bidi="ar-SA"/>
              </w:rPr>
            </w:r>
          </w:p>
        </w:tc>
        <w:tc>
          <w:tcPr>
            <w:tcW w:w="2499" w:type="dxa"/>
            <w:tcBorders>
              <w:top w:val="single" w:sz="4" w:space="0" w:color="B4C6E7"/>
              <w:left w:val="single" w:sz="4" w:space="0" w:color="B4C6E7"/>
              <w:bottom w:val="single" w:sz="4" w:space="0" w:color="B4C6E7"/>
              <w:right w:val="single" w:sz="4" w:space="0" w:color="B4C6E7"/>
            </w:tcBorders>
            <w:vAlign w:val="center"/>
          </w:tcPr>
          <w:p>
            <w:pPr>
              <w:pStyle w:val="Normal"/>
              <w:widowControl/>
              <w:numPr>
                <w:ilvl w:val="0"/>
                <w:numId w:val="10"/>
              </w:numPr>
              <w:suppressAutoHyphens w:val="true"/>
              <w:spacing w:lineRule="auto" w:line="259" w:before="0" w:after="160"/>
              <w:ind w:hanging="180" w:left="160"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Представници привреде града/општине Димитровграда и други</w:t>
            </w:r>
          </w:p>
        </w:tc>
        <w:tc>
          <w:tcPr>
            <w:tcW w:w="4318" w:type="dxa"/>
            <w:tcBorders>
              <w:top w:val="single" w:sz="4" w:space="0" w:color="B4C6E7"/>
              <w:left w:val="single" w:sz="4" w:space="0" w:color="B4C6E7"/>
              <w:bottom w:val="single" w:sz="4" w:space="0" w:color="B4C6E7"/>
              <w:right w:val="single" w:sz="4" w:space="0" w:color="B4C6E7"/>
            </w:tcBorders>
          </w:tcPr>
          <w:p>
            <w:pPr>
              <w:pStyle w:val="Normal"/>
              <w:widowControl w:val="false"/>
              <w:tabs>
                <w:tab w:val="clear" w:pos="720"/>
                <w:tab w:val="left" w:pos="1116" w:leader="none"/>
              </w:tabs>
              <w:suppressAutoHyphens w:val="true"/>
              <w:spacing w:lineRule="auto" w:line="240" w:before="0" w:after="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themeColor="text1" w:val="2F5496"/>
                <w:kern w:val="0"/>
                <w:sz w:val="22"/>
                <w:szCs w:val="22"/>
                <w:lang w:val="sr-RS" w:eastAsia="en-GB" w:bidi="ar-SA"/>
              </w:rPr>
            </w:pPr>
            <w:r>
              <w:rPr>
                <w:rFonts w:eastAsia="Calibri" w:cs="Calibri"/>
                <w:color w:themeColor="text1" w:val="000000"/>
                <w:kern w:val="0"/>
                <w:sz w:val="22"/>
                <w:szCs w:val="22"/>
                <w:lang w:val="sr-RS" w:eastAsia="en-GB" w:bidi="ar-SA"/>
              </w:rPr>
              <w:t>Заинтересованост за утицај потпројекта на њихов живот и рад, несметано функционисање њихових компанија.</w:t>
            </w:r>
          </w:p>
          <w:p>
            <w:pPr>
              <w:pStyle w:val="Normal"/>
              <w:widowControl/>
              <w:tabs>
                <w:tab w:val="clear" w:pos="720"/>
                <w:tab w:val="left" w:pos="1116" w:leader="none"/>
              </w:tabs>
              <w:suppressAutoHyphens w:val="true"/>
              <w:spacing w:lineRule="auto" w:line="259" w:before="0" w:after="160"/>
              <w:ind w:hanging="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themeColor="text1" w:val="2F5496"/>
                <w:kern w:val="0"/>
                <w:sz w:val="22"/>
                <w:szCs w:val="22"/>
                <w:lang w:val="sr-RS" w:eastAsia="en-GB" w:bidi="ar-SA"/>
              </w:rPr>
            </w:pPr>
            <w:r>
              <w:rPr>
                <w:rFonts w:eastAsia="Calibri" w:cs="Calibri"/>
                <w:color w:themeColor="text1" w:val="000000"/>
                <w:kern w:val="0"/>
                <w:sz w:val="22"/>
                <w:szCs w:val="22"/>
                <w:lang w:val="sr-RS" w:eastAsia="en-GB" w:bidi="ar-SA"/>
              </w:rPr>
              <w:t>Забринутост за утицаје у вези са буком, прашином, оштећењима, емисијама, вибрацијама.</w:t>
            </w:r>
          </w:p>
        </w:tc>
        <w:tc>
          <w:tcPr>
            <w:tcW w:w="989"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06"/>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863" w:type="dxa"/>
            <w:tcBorders>
              <w:top w:val="single" w:sz="4" w:space="0" w:color="B4C6E7"/>
              <w:left w:val="single" w:sz="4" w:space="0" w:color="B4C6E7"/>
              <w:bottom w:val="single" w:sz="4" w:space="0" w:color="B4C6E7"/>
              <w:right w:val="single" w:sz="4" w:space="0" w:color="B4C6E7"/>
            </w:tcBorders>
            <w:vAlign w:val="center"/>
          </w:tcPr>
          <w:p>
            <w:pPr>
              <w:pStyle w:val="Normal"/>
              <w:widowControl/>
              <w:suppressAutoHyphens w:val="true"/>
              <w:spacing w:lineRule="auto" w:line="259" w:before="0" w:after="160"/>
              <w:ind w:left="-24" w:right="-18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C55911"/>
                <w:kern w:val="0"/>
                <w:sz w:val="22"/>
                <w:szCs w:val="22"/>
                <w:lang w:val="sr-RS" w:eastAsia="en-GB" w:bidi="ar-SA"/>
              </w:rPr>
              <w:t>Средњи</w:t>
            </w:r>
          </w:p>
        </w:tc>
        <w:tc>
          <w:tcPr>
            <w:tcW w:w="1536" w:type="dxa"/>
            <w:tcBorders>
              <w:top w:val="single" w:sz="4" w:space="0" w:color="B4C6E7"/>
              <w:left w:val="single" w:sz="4" w:space="0" w:color="B4C6E7"/>
              <w:bottom w:val="single" w:sz="4" w:space="0" w:color="B4C6E7"/>
              <w:right w:val="single" w:sz="4" w:space="0" w:color="B4C6E7"/>
            </w:tcBorders>
            <w:shd w:color="auto" w:fill="FFF2CC" w:val="clear"/>
            <w:vAlign w:val="center"/>
          </w:tcPr>
          <w:p>
            <w:pPr>
              <w:pStyle w:val="Normal"/>
              <w:widowControl/>
              <w:suppressAutoHyphens w:val="true"/>
              <w:spacing w:lineRule="auto" w:line="259" w:before="0" w:after="160"/>
              <w:ind w:left="-102" w:right="-24"/>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000000"/>
                <w:kern w:val="0"/>
                <w:sz w:val="22"/>
                <w:szCs w:val="22"/>
                <w:lang w:val="sr-RS" w:eastAsia="en-GB" w:bidi="ar-SA"/>
              </w:rPr>
              <w:t>Консултација</w:t>
            </w:r>
          </w:p>
        </w:tc>
      </w:tr>
    </w:tbl>
    <w:p>
      <w:pPr>
        <w:pStyle w:val="Normal"/>
        <w:jc w:val="both"/>
        <w:rPr>
          <w:sz w:val="20"/>
          <w:szCs w:val="20"/>
        </w:rPr>
      </w:pPr>
      <w:r>
        <w:rPr>
          <w:sz w:val="20"/>
          <w:szCs w:val="20"/>
        </w:rPr>
      </w:r>
    </w:p>
    <w:p>
      <w:pPr>
        <w:pStyle w:val="Normal"/>
        <w:jc w:val="both"/>
        <w:rPr>
          <w:sz w:val="20"/>
          <w:szCs w:val="20"/>
        </w:rPr>
      </w:pPr>
      <w:r>
        <w:rPr>
          <w:sz w:val="20"/>
          <w:szCs w:val="20"/>
        </w:rPr>
        <w:tab/>
      </w:r>
    </w:p>
    <w:p>
      <w:pPr>
        <w:pStyle w:val="Normal"/>
        <w:jc w:val="both"/>
        <w:rPr>
          <w:b/>
        </w:rPr>
      </w:pPr>
      <w:r>
        <w:rPr>
          <w:b/>
        </w:rPr>
        <w:t>Циљеви ангажовања заинтересованих страна:</w:t>
      </w:r>
    </w:p>
    <w:p>
      <w:pPr>
        <w:pStyle w:val="Normal"/>
        <w:jc w:val="both"/>
        <w:rPr/>
      </w:pPr>
      <w:r>
        <w:rPr/>
        <w:t>Ангажовање заинтересованих страна треба планирати и спровести без дискриминације, узимајући у обзир разлике у изложености ризику и повећану осетљивост угрожених група. Ангажовање заинтересованих страна, укључујући и објављивање и дистрибуцију информација о Пројекту и Потпројекту, спроводи се са циљем претходног информисаног и слободног ангажовања и учешћа, како би довело до широке подршке заједнице која је изложена утицајима пројекта и обезбедило дугорочну одрживост активности пројекта. Мишљења и аргументи заинтересованих страна ће бити документовани и пажљиво размотрени током фазе припреме и реализације пројекта.</w:t>
      </w:r>
    </w:p>
    <w:p>
      <w:pPr>
        <w:pStyle w:val="Normal"/>
        <w:jc w:val="both"/>
        <w:rPr/>
      </w:pPr>
      <w:r>
        <w:rPr/>
        <w:t xml:space="preserve">Користи од правовременог и правичног ангажовања свих заинтересованих страна је стварање односа поверења уз обострано уважавање и смањење потенцијалних друштвених ризика, ризика по животну средину и безбедност на на најмању могућу меру. Заинтересоване стране дају допринос и подршку као корективни учесници процеса. </w:t>
      </w:r>
    </w:p>
    <w:p>
      <w:pPr>
        <w:pStyle w:val="Normal"/>
        <w:jc w:val="both"/>
        <w:rPr/>
      </w:pPr>
      <w:r>
        <w:rPr/>
        <w:t>Списак идентификованих заинтересованих страна, дефинисање потенцијалних тема које ће бити предмет интересовања и посебних услова за комуницирање (методе комуникације, начин пријема повратних информација и временски оквир), дат је у Табела 2., како следи.</w:t>
      </w:r>
    </w:p>
    <w:p>
      <w:pPr>
        <w:pStyle w:val="Normal"/>
        <w:jc w:val="both"/>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0" w:after="160"/>
        <w:rPr/>
      </w:pPr>
      <w:r>
        <w:rPr>
          <w:i/>
          <w:color w:val="2F5496"/>
          <w:sz w:val="24"/>
          <w:szCs w:val="24"/>
          <w:u w:val="single"/>
        </w:rPr>
        <w:t xml:space="preserve">Табела 2. Идентификоване заинтересоване стране, начин  и карактеристике комуникације </w:t>
      </w:r>
    </w:p>
    <w:tbl>
      <w:tblPr>
        <w:tblStyle w:val="5"/>
        <w:tblW w:w="1303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60"/>
        <w:gridCol w:w="2412"/>
        <w:gridCol w:w="2268"/>
        <w:gridCol w:w="2268"/>
        <w:gridCol w:w="1417"/>
        <w:gridCol w:w="1561"/>
        <w:gridCol w:w="1276"/>
        <w:gridCol w:w="1272"/>
      </w:tblGrid>
      <w:tr>
        <w:trPr>
          <w:trHeight w:val="1134" w:hRule="atLeast"/>
          <w:cantSplit w:val="true"/>
          <w:cnfStyle w:val="100000000000" w:firstRow="1" w:lastRow="0" w:firstColumn="0" w:lastColumn="0" w:oddVBand="0" w:evenVBand="0" w:oddHBand="0" w:evenHBand="0" w:firstRowFirstColumn="0" w:firstRowLastColumn="0" w:lastRowFirstColumn="0" w:lastRowLastColumn="0"/>
        </w:trPr>
        <w:tc>
          <w:tcPr>
            <w:tcW w:w="560" w:type="dxa"/>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ind w:left="113" w:right="113"/>
              <w:jc w:val="left"/>
              <w:rPr>
                <w:sz w:val="18"/>
                <w:szCs w:val="18"/>
              </w:rPr>
            </w:pPr>
            <w:bookmarkStart w:id="3" w:name="_heading=h.4d34og8"/>
            <w:bookmarkEnd w:id="3"/>
            <w:r>
              <w:rPr>
                <w:rFonts w:eastAsia="Calibri" w:cs="Calibri"/>
                <w:b w:val="false"/>
                <w:color w:val="2F5496"/>
                <w:kern w:val="0"/>
                <w:sz w:val="18"/>
                <w:szCs w:val="18"/>
                <w:lang w:val="sr-RS" w:eastAsia="en-GB" w:bidi="ar-SA"/>
              </w:rPr>
              <w:t>Пројектна фаза</w:t>
            </w:r>
          </w:p>
        </w:tc>
        <w:tc>
          <w:tcPr>
            <w:tcW w:w="2412"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Заинтересована страна</w:t>
            </w:r>
          </w:p>
        </w:tc>
        <w:tc>
          <w:tcPr>
            <w:tcW w:w="2268"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Теме, очекивана питања и теме о којима ће се разговарати</w:t>
            </w:r>
          </w:p>
        </w:tc>
        <w:tc>
          <w:tcPr>
            <w:tcW w:w="2268"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Комуникацијски канали: идентификација примарних канала</w:t>
            </w:r>
          </w:p>
        </w:tc>
        <w:tc>
          <w:tcPr>
            <w:tcW w:w="1417"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Методе за прикупљање инпута и повратних информација од заинтересованих страна</w:t>
            </w:r>
          </w:p>
        </w:tc>
        <w:tc>
          <w:tcPr>
            <w:tcW w:w="1561"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Временска линија: Учесталост и начин комуникације</w:t>
            </w:r>
          </w:p>
        </w:tc>
        <w:tc>
          <w:tcPr>
            <w:tcW w:w="1276"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Одговорност</w:t>
            </w:r>
          </w:p>
        </w:tc>
        <w:tc>
          <w:tcPr>
            <w:tcW w:w="1272" w:type="dxa"/>
            <w:tcBorders>
              <w:top w:val="single" w:sz="4" w:space="0" w:color="B4C6E7"/>
              <w:left w:val="single" w:sz="4" w:space="0" w:color="B4C6E7"/>
              <w:bottom w:val="single" w:sz="12" w:space="0" w:color="8EAADB"/>
              <w:right w:val="single" w:sz="4" w:space="0" w:color="B4C6E7"/>
            </w:tcBorders>
            <w:shd w:color="auto" w:fill="F2F2F2" w:val="clear"/>
          </w:tcPr>
          <w:p>
            <w:pPr>
              <w:pStyle w:val="Normal"/>
              <w:widowControl/>
              <w:suppressAutoHyphens w:val="true"/>
              <w:spacing w:lineRule="auto" w:line="240" w:before="0" w:after="60"/>
              <w:jc w:val="left"/>
              <w:cnfStyle w:val="100000000000" w:firstRow="1" w:lastRow="0" w:firstColumn="0" w:lastColumn="0" w:oddVBand="0" w:evenVBand="0" w:oddHBand="0" w:evenHBand="0" w:firstRowFirstColumn="0" w:firstRowLastColumn="0" w:lastRowFirstColumn="0" w:lastRowLastColumn="0"/>
              <w:rPr>
                <w:sz w:val="18"/>
                <w:szCs w:val="18"/>
              </w:rPr>
            </w:pPr>
            <w:r>
              <w:rPr>
                <w:rFonts w:eastAsia="Calibri" w:cs="Calibri"/>
                <w:b/>
                <w:color w:val="2F5496"/>
                <w:kern w:val="0"/>
                <w:sz w:val="18"/>
                <w:szCs w:val="18"/>
                <w:lang w:val="sr-RS" w:eastAsia="en-GB" w:bidi="ar-SA"/>
              </w:rPr>
              <w:t>Буџетска процена</w:t>
            </w:r>
          </w:p>
        </w:tc>
      </w:tr>
      <w:tr>
        <w:trPr/>
        <w:tc>
          <w:tcPr>
            <w:tcW w:w="560"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ind w:left="113" w:right="113"/>
              <w:jc w:val="left"/>
              <w:rPr>
                <w:sz w:val="18"/>
                <w:szCs w:val="18"/>
              </w:rPr>
            </w:pPr>
            <w:r>
              <w:rPr>
                <w:rFonts w:eastAsia="Calibri" w:cs="Calibri"/>
                <w:b/>
                <w:color w:val="2F5496"/>
                <w:kern w:val="0"/>
                <w:sz w:val="18"/>
                <w:szCs w:val="18"/>
                <w:lang w:val="sr-RS" w:eastAsia="en-GB" w:bidi="ar-SA"/>
              </w:rPr>
              <w:t>ФАЗА ИЗВОЂЕЊА РАДОВА</w:t>
            </w:r>
          </w:p>
        </w:tc>
        <w:tc>
          <w:tcPr>
            <w:tcW w:w="24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b/>
                <w:color w:val="2F5496"/>
                <w:kern w:val="0"/>
                <w:sz w:val="18"/>
                <w:szCs w:val="18"/>
                <w:lang w:val="sr-RS" w:eastAsia="en-GB" w:bidi="ar-SA"/>
              </w:rPr>
              <w:t>Заинтересоване стране на које пројекат/потпројекат утиче: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Особе које живе у зонама утицаја реализације потпројекта;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Локалне самоуправе Грађани/корисници пружања инфраструктурних услуга;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Запослени и корисници јавних институција;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Привредници који послују у зони која је погођена реализацијом;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Угрожене групе;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Информације о обиму, времену и трајању планираних радова, потенцијалним искључењима електричне енергије, евентуалним очекиваним прекидима у обављању комуналних делатности за овај део града (водоснабдевање, одношење смећа, јавна расвета и друго) и колико се процењује да ће они трајати;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Процес жалбеног механизма;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План управљања саобраћајем – измештање јавног саобраћаја; алтернативни правци доласка до јавних институција/стамбених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Утицаји на здравље и безбедност (Безбедносне мере);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Прилике за запошљавање;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Забринутост за животну средину;</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Подизање свести о родно заснованом насиљу (РЗН);</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Припремљеност и реаговање у хитним случајевима;</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Јавни састанци, обуке/радионице, засебни састанци посебно за угрожене групе;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Информативни пултови у згради општинске управе, на месту извођења радова и ЈУП јединици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Индивидуално досезање до ПАП страна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на друштвеним мрежама;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Обелодањивање писаних информација/брошуре, постери, леци, веб страница;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Интернет странице  пројекта и града/општине Димитровграда;</w:t>
            </w:r>
          </w:p>
        </w:tc>
        <w:tc>
          <w:tcPr>
            <w:tcW w:w="1417"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Јавне консултације;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Фокус групе-састанци са посебно осетљивим групама;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Жалбени механизам;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Записници са јавних састанака;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Извештаји са радионица;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Анкетирање грађана/ПАП страна – По завршетку изградње;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Друштвене мреже;</w:t>
            </w:r>
          </w:p>
        </w:tc>
        <w:tc>
          <w:tcPr>
            <w:tcW w:w="156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Јавне консултације пре почетка извођења радова;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Квартални састанци у Димитровграду;</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Информативни пултови са брошурама/постерима у погођеним деловима града (континуирано); Комуникација на друштвеним мрежама (према потреби);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2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ЈУП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Саветници за надзор;</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службе за праћење и подршку Пројекту;</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Извођач радова/подизвођачи;</w:t>
            </w:r>
          </w:p>
        </w:tc>
        <w:tc>
          <w:tcPr>
            <w:tcW w:w="127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Оглашавање јавних састанака у локалним новинама  и локалним ТВ и радио станицама (5.000,00 евра);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Организациони трошкови на терет Пројекта и града/општине Димитровграда  (закуп сала за јавне састанке);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Штампани постери/брошуре/леци на терет Пројекта;</w:t>
            </w:r>
          </w:p>
        </w:tc>
      </w:tr>
      <w:tr>
        <w:trPr/>
        <w:tc>
          <w:tcPr>
            <w:tcW w:w="560"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tcPr>
          <w:p>
            <w:pPr>
              <w:pStyle w:val="Normal"/>
              <w:widowControl w:val="false"/>
              <w:suppressAutoHyphens w:val="true"/>
              <w:spacing w:lineRule="auto" w:line="276" w:before="0" w:after="0"/>
              <w:jc w:val="left"/>
              <w:rPr>
                <w:sz w:val="18"/>
                <w:szCs w:val="18"/>
              </w:rPr>
            </w:pPr>
            <w:r>
              <w:rPr>
                <w:b/>
                <w:sz w:val="18"/>
                <w:szCs w:val="18"/>
              </w:rPr>
            </w:r>
          </w:p>
        </w:tc>
        <w:tc>
          <w:tcPr>
            <w:tcW w:w="24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b/>
                <w:color w:val="2F5496"/>
                <w:kern w:val="0"/>
                <w:sz w:val="18"/>
                <w:szCs w:val="18"/>
                <w:lang w:val="sr-RS" w:eastAsia="en-GB" w:bidi="ar-SA"/>
              </w:rPr>
              <w:t>Остале заинтересоване стране (Екстерне)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Штампа и медији;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Организације цивилног друштва/НВО;</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Пружаоци услуга/национални и међународни извођачи радова и консултанти за инжењеринг;</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Разне Владине инспекције као што су Инспекторат за рад, Грађевинска инспекција, итд;</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Академске установе;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Министарства РС;</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Остале Владине службе и одељења од којих се захтевају дозволе/одобрења;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Локалне самоуправе/ релевантна одељења;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color w:val="2F5496"/>
                <w:kern w:val="0"/>
                <w:sz w:val="18"/>
                <w:szCs w:val="18"/>
                <w:lang w:val="sr-RS" w:eastAsia="en-GB" w:bidi="ar-SA"/>
              </w:rPr>
              <w:t>Општа јавност, туристи, тражиоци послова;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Пројектне информације – делокруг реализације Потпројекта, образложење и еколошка и социјална начела;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Активности координације;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Утицаји на здравље и безбедност;</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Прилике за запошљавање;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Забринутост за животну средину;</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План управљања саобраћајем;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Процес жалбеног механизма;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Квартални састанци у Димитровграду;</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на друштвеним межама (према потреби);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Информативни пултови у згради општинске управе, на месту извођења радова и ЈУП јединици (континуирано)</w:t>
            </w:r>
          </w:p>
        </w:tc>
        <w:tc>
          <w:tcPr>
            <w:tcW w:w="1417"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Жалбени механизам;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Записници са јавних састанака;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Извештаји са радионица;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Анкетирање грађана/ПАП страна по завршетку расељавања и/или изградње;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Друштвене мреже;</w:t>
            </w:r>
          </w:p>
        </w:tc>
        <w:tc>
          <w:tcPr>
            <w:tcW w:w="156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Према потреби</w:t>
            </w:r>
          </w:p>
        </w:tc>
        <w:tc>
          <w:tcPr>
            <w:tcW w:w="12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ЈУП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(Стручњаци за еколошка и социјална питања)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27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на терет Пројекта</w:t>
            </w:r>
          </w:p>
        </w:tc>
      </w:tr>
      <w:tr>
        <w:trPr/>
        <w:tc>
          <w:tcPr>
            <w:tcW w:w="560"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tcPr>
          <w:p>
            <w:pPr>
              <w:pStyle w:val="Normal"/>
              <w:widowControl w:val="false"/>
              <w:suppressAutoHyphens w:val="true"/>
              <w:spacing w:lineRule="auto" w:line="276" w:before="0" w:after="0"/>
              <w:jc w:val="left"/>
              <w:rPr>
                <w:sz w:val="18"/>
                <w:szCs w:val="18"/>
              </w:rPr>
            </w:pPr>
            <w:r>
              <w:rPr>
                <w:b/>
                <w:sz w:val="18"/>
                <w:szCs w:val="18"/>
              </w:rPr>
            </w:r>
          </w:p>
        </w:tc>
        <w:tc>
          <w:tcPr>
            <w:tcW w:w="24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b/>
                <w:color w:val="2F5496"/>
                <w:kern w:val="0"/>
                <w:sz w:val="18"/>
                <w:szCs w:val="18"/>
                <w:lang w:val="sr-RS" w:eastAsia="en-GB" w:bidi="ar-SA"/>
              </w:rPr>
              <w:t>Остале заинтересоване стране (Интерне)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Остало особље ЈУП јединице;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Консултанти за надзор;</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color w:val="2F5496"/>
                <w:kern w:val="0"/>
                <w:sz w:val="18"/>
                <w:szCs w:val="18"/>
                <w:lang w:val="sr-RS" w:eastAsia="en-GB" w:bidi="ar-SA"/>
              </w:rPr>
              <w:t>Извођач радова, подизвођачи, пружаоци услуга, добављачи и њихови радници;</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Пројектне информације - делокруг пројекта, образложење и еколошка и социјална начела;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Обука о ЕСА и осталим подуправљачким плановима;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Процес жалбеног механизма;</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Састанци лицем у лице;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Обуке/радионице;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Позиви на јавне састанке/у заједници;</w:t>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r>
          </w:p>
        </w:tc>
        <w:tc>
          <w:tcPr>
            <w:tcW w:w="1417"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rFonts w:eastAsia="Calibri" w:cs="Calibri"/>
                <w:color w:themeColor="text2" w:val="44546A"/>
                <w:kern w:val="0"/>
                <w:sz w:val="18"/>
                <w:szCs w:val="18"/>
                <w:lang w:val="sr-RS" w:eastAsia="en-GB" w:bidi="ar-SA"/>
              </w:rPr>
              <w:t>Индивидуални састанци са ЈУП-ом, по потреби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color w:themeColor="text2" w:val="44546A"/>
                <w:sz w:val="18"/>
                <w:szCs w:val="18"/>
              </w:rPr>
            </w:r>
          </w:p>
        </w:tc>
        <w:tc>
          <w:tcPr>
            <w:tcW w:w="156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Према потреби</w:t>
            </w:r>
          </w:p>
        </w:tc>
        <w:tc>
          <w:tcPr>
            <w:tcW w:w="12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ЈУП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Извођач радова/подизвођачи;</w:t>
            </w:r>
          </w:p>
        </w:tc>
        <w:tc>
          <w:tcPr>
            <w:tcW w:w="127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На терет Пројекта</w:t>
            </w:r>
          </w:p>
        </w:tc>
      </w:tr>
      <w:tr>
        <w:trPr>
          <w:trHeight w:val="1134" w:hRule="atLeast"/>
        </w:trPr>
        <w:tc>
          <w:tcPr>
            <w:tcW w:w="560"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shd w:color="auto" w:fill="F2F2F2" w:val="clear"/>
          </w:tcPr>
          <w:p>
            <w:pPr>
              <w:pStyle w:val="Normal"/>
              <w:widowControl/>
              <w:suppressAutoHyphens w:val="true"/>
              <w:spacing w:lineRule="auto" w:line="240" w:before="0" w:after="60"/>
              <w:ind w:left="113" w:right="113"/>
              <w:jc w:val="left"/>
              <w:rPr>
                <w:sz w:val="18"/>
                <w:szCs w:val="18"/>
              </w:rPr>
            </w:pPr>
            <w:r>
              <w:rPr>
                <w:rFonts w:eastAsia="Calibri" w:cs="Calibri"/>
                <w:b/>
                <w:color w:val="2F5496"/>
                <w:kern w:val="0"/>
                <w:sz w:val="18"/>
                <w:szCs w:val="18"/>
                <w:lang w:val="sr-RS" w:eastAsia="en-GB" w:bidi="ar-SA"/>
              </w:rPr>
              <w:t>Оперативна фаза</w:t>
            </w:r>
          </w:p>
        </w:tc>
        <w:tc>
          <w:tcPr>
            <w:tcW w:w="24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b/>
                <w:color w:val="2F5496"/>
                <w:kern w:val="0"/>
                <w:sz w:val="18"/>
                <w:szCs w:val="18"/>
                <w:lang w:val="sr-RS" w:eastAsia="en-GB" w:bidi="ar-SA"/>
              </w:rPr>
              <w:t>Стране на које утиче пројекат:</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Особе које живе у погођеним заједницама;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Грађани/корисници пружања инфраструктурних услуга;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Угрожене групе;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color w:val="2F5496"/>
                <w:kern w:val="0"/>
                <w:sz w:val="18"/>
                <w:szCs w:val="18"/>
                <w:lang w:val="sr-RS" w:eastAsia="en-GB" w:bidi="ar-SA"/>
              </w:rPr>
              <w:t>Локалне самоуправе;</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Задовољство активностима укључивања и ЖМ;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Процес жалбеног механизма;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Мере за очување здравља и безбедности у заједници током оперативне фазе;</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Јавни састанци, обуке/радионице, засебни састанци посебно за жене и угрожене групе;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на друштвеним мрежама;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Обелодањивање писаних информација/ брошуре, постери, леци, веб страница;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Информативни пултови у општинама и ЈУП јединици;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Жалбени механизам;</w:t>
            </w:r>
          </w:p>
        </w:tc>
        <w:tc>
          <w:tcPr>
            <w:tcW w:w="1417"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rFonts w:eastAsia="Calibri" w:cs="Calibri"/>
                <w:color w:themeColor="text2" w:val="44546A"/>
                <w:kern w:val="0"/>
                <w:sz w:val="18"/>
                <w:szCs w:val="18"/>
                <w:lang w:val="sr-RS" w:eastAsia="en-GB" w:bidi="ar-SA"/>
              </w:rPr>
              <w:t xml:space="preserve">Индивидуални састанци са представници-ма града/ </w:t>
            </w:r>
            <w:r>
              <w:rPr>
                <w:rFonts w:eastAsia="Calibri" w:cs="Calibri"/>
                <w:color w:themeColor="text2" w:val="2F5496"/>
                <w:kern w:val="0"/>
                <w:sz w:val="18"/>
                <w:szCs w:val="18"/>
                <w:lang w:val="sr-RS" w:eastAsia="en-GB" w:bidi="ar-SA"/>
              </w:rPr>
              <w:t>општине Димитровграда</w:t>
            </w:r>
            <w:r>
              <w:rPr>
                <w:rFonts w:eastAsia="Calibri" w:cs="Calibri"/>
                <w:color w:themeColor="text2" w:val="44546A"/>
                <w:kern w:val="0"/>
                <w:sz w:val="18"/>
                <w:szCs w:val="18"/>
                <w:lang w:val="sr-RS" w:eastAsia="en-GB" w:bidi="ar-SA"/>
              </w:rPr>
              <w:t>;</w:t>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color w:themeColor="text2" w:val="44546A"/>
                <w:sz w:val="18"/>
                <w:szCs w:val="18"/>
              </w:rPr>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rPr>
            </w:pPr>
            <w:r>
              <w:rPr>
                <w:rFonts w:eastAsia="Calibri" w:cs="Calibri"/>
                <w:color w:themeColor="text2" w:val="44546A"/>
                <w:kern w:val="0"/>
                <w:sz w:val="18"/>
                <w:szCs w:val="18"/>
                <w:lang w:val="sr-RS" w:eastAsia="en-GB" w:bidi="ar-SA"/>
              </w:rPr>
              <w:t>Записници са јавних састанака;</w:t>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color w:themeColor="text2" w:val="44546A"/>
                <w:sz w:val="18"/>
                <w:szCs w:val="18"/>
              </w:rPr>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color w:themeColor="text2" w:val="44546A"/>
              </w:rPr>
            </w:pPr>
            <w:r>
              <w:rPr>
                <w:rFonts w:eastAsia="Calibri" w:cs="Calibri"/>
                <w:color w:themeColor="text2" w:val="44546A"/>
                <w:kern w:val="0"/>
                <w:sz w:val="18"/>
                <w:szCs w:val="18"/>
                <w:lang w:val="sr-RS" w:eastAsia="en-GB" w:bidi="ar-SA"/>
              </w:rPr>
              <w:t>Друштвене мреже;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color w:themeColor="text2" w:val="44546A"/>
                <w:sz w:val="18"/>
                <w:szCs w:val="18"/>
              </w:rPr>
            </w:pPr>
            <w:r>
              <w:rPr>
                <w:color w:themeColor="text2" w:val="44546A"/>
                <w:sz w:val="18"/>
                <w:szCs w:val="18"/>
              </w:rPr>
            </w:r>
          </w:p>
        </w:tc>
        <w:tc>
          <w:tcPr>
            <w:tcW w:w="156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Анкетирање грађана/ПАП страна;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на друштвеним мрежаима (према потреби);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2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ЈУП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Град општина/ Димитровград</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27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На терет Пројекта</w:t>
            </w:r>
          </w:p>
        </w:tc>
      </w:tr>
      <w:tr>
        <w:trPr/>
        <w:tc>
          <w:tcPr>
            <w:tcW w:w="560"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B4C6E7"/>
              <w:left w:val="single" w:sz="4" w:space="0" w:color="B4C6E7"/>
              <w:bottom w:val="single" w:sz="4" w:space="0" w:color="B4C6E7"/>
              <w:right w:val="single" w:sz="4" w:space="0" w:color="B4C6E7"/>
            </w:tcBorders>
            <w:shd w:color="auto" w:fill="F2F2F2" w:val="clear"/>
          </w:tcPr>
          <w:p>
            <w:pPr>
              <w:pStyle w:val="Normal"/>
              <w:widowControl w:val="false"/>
              <w:suppressAutoHyphens w:val="true"/>
              <w:spacing w:lineRule="auto" w:line="276" w:before="0" w:after="0"/>
              <w:jc w:val="left"/>
              <w:rPr>
                <w:sz w:val="18"/>
                <w:szCs w:val="18"/>
              </w:rPr>
            </w:pPr>
            <w:r>
              <w:rPr>
                <w:b/>
                <w:sz w:val="18"/>
                <w:szCs w:val="18"/>
              </w:rPr>
            </w:r>
          </w:p>
        </w:tc>
        <w:tc>
          <w:tcPr>
            <w:tcW w:w="24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b/>
                <w:color w:val="2F5496"/>
                <w:kern w:val="0"/>
                <w:sz w:val="18"/>
                <w:szCs w:val="18"/>
                <w:lang w:val="sr-RS" w:eastAsia="en-GB" w:bidi="ar-SA"/>
              </w:rPr>
              <w:t>Остале заинтересоване стране (Екстерне)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Штампа и медији;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Организације цивилног друштва/НВО;</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Пружаоци услуга/ Национални и међународни извођачи радова и консултанти за инжењеринг;</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Разне Владине инспекције као што су Инспекторат за рад, Грађевинска инспекција, итд.</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Академске установе;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Министарства националне Владе;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Локалне самоуправе/ релевантна одељења;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b/>
                <w:sz w:val="18"/>
                <w:szCs w:val="18"/>
              </w:rPr>
            </w:pPr>
            <w:r>
              <w:rPr>
                <w:rFonts w:eastAsia="Calibri" w:cs="Calibri"/>
                <w:color w:val="2F5496"/>
                <w:kern w:val="0"/>
                <w:sz w:val="18"/>
                <w:szCs w:val="18"/>
                <w:lang w:val="sr-RS" w:eastAsia="en-GB" w:bidi="ar-SA"/>
              </w:rPr>
              <w:t>Општа јавност, туристи, тражиоци послова;</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Активности одржавања реализованог Потпројектом;</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Процес жалбеног механизма;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Мере за очување здравља и безбедности у заједници током оперативне фазе;</w:t>
            </w:r>
          </w:p>
        </w:tc>
        <w:tc>
          <w:tcPr>
            <w:tcW w:w="2268"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путем масовних/друштвених мрежа;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Обелодањивање писаних информација;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Обелодањивање активности на веб страници МГСИ и Града општине Димитровграда;</w:t>
            </w:r>
          </w:p>
        </w:tc>
        <w:tc>
          <w:tcPr>
            <w:tcW w:w="1417"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themeColor="accent1" w:themeShade="80" w:val="1F4E79"/>
                <w:kern w:val="0"/>
                <w:sz w:val="18"/>
                <w:szCs w:val="18"/>
                <w:lang w:val="sr-RS" w:eastAsia="en-GB" w:bidi="ar-SA"/>
              </w:rPr>
              <w:t xml:space="preserve">Индивидуални састанци са представницима </w:t>
            </w:r>
            <w:r>
              <w:rPr>
                <w:rFonts w:eastAsia="Calibri" w:cs="Calibri"/>
                <w:color w:val="2F5496"/>
                <w:kern w:val="0"/>
                <w:sz w:val="18"/>
                <w:szCs w:val="18"/>
                <w:lang w:val="sr-RS" w:eastAsia="en-GB" w:bidi="ar-SA"/>
              </w:rPr>
              <w:t>Града општине Димитровград</w:t>
            </w:r>
            <w:r>
              <w:rPr>
                <w:rFonts w:eastAsia="Calibri" w:cs="Calibri"/>
                <w:color w:val="002060"/>
                <w:kern w:val="0"/>
                <w:sz w:val="18"/>
                <w:szCs w:val="18"/>
                <w:lang w:val="sr-RS" w:eastAsia="en-GB" w:bidi="ar-SA"/>
              </w:rPr>
              <w:t>;</w:t>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rFonts w:ascii="Calibri" w:hAnsi="Calibri" w:eastAsia="Calibri" w:cs="Calibri"/>
                <w:color w:val="2F5496"/>
                <w:kern w:val="0"/>
                <w:sz w:val="22"/>
                <w:szCs w:val="22"/>
                <w:lang w:val="sr-RS" w:eastAsia="en-GB" w:bidi="ar-SA"/>
              </w:rPr>
            </w:pPr>
            <w:r>
              <w:rPr>
                <w:rFonts w:eastAsia="Calibri" w:cs="Calibri"/>
                <w:color w:val="2F5496"/>
                <w:kern w:val="0"/>
                <w:sz w:val="18"/>
                <w:szCs w:val="18"/>
                <w:lang w:val="sr-RS" w:eastAsia="en-GB" w:bidi="ar-SA"/>
              </w:rPr>
              <w:t>Записници са јавних састанака;</w:t>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p>
            <w:pPr>
              <w:pStyle w:val="Normal"/>
              <w:widowControl/>
              <w:suppressAutoHyphens w:val="true"/>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Друштвене мреже</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56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Анкетирање грађана/ПАП страна;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Комуникација на друштвеним мрежама (према потреби);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r>
          </w:p>
        </w:tc>
        <w:tc>
          <w:tcPr>
            <w:tcW w:w="12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ЈУП јединица;</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Град Димитровград;</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МГСИ;</w:t>
            </w:r>
          </w:p>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Тим за односе са јавношћу;</w:t>
            </w:r>
          </w:p>
        </w:tc>
        <w:tc>
          <w:tcPr>
            <w:tcW w:w="127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60"/>
              <w:jc w:val="left"/>
              <w:cnfStyle w:val="000000000000" w:firstRow="0" w:lastRow="0" w:firstColumn="0" w:lastColumn="0" w:oddVBand="0" w:evenVBand="0" w:oddHBand="0" w:evenHBand="0" w:firstRowFirstColumn="0" w:firstRowLastColumn="0" w:lastRowFirstColumn="0" w:lastRowLastColumn="0"/>
              <w:rPr>
                <w:sz w:val="18"/>
                <w:szCs w:val="18"/>
              </w:rPr>
            </w:pPr>
            <w:r>
              <w:rPr>
                <w:rFonts w:eastAsia="Calibri" w:cs="Calibri"/>
                <w:color w:val="2F5496"/>
                <w:kern w:val="0"/>
                <w:sz w:val="18"/>
                <w:szCs w:val="18"/>
                <w:lang w:val="sr-RS" w:eastAsia="en-GB" w:bidi="ar-SA"/>
              </w:rPr>
              <w:t>На терет Пројекта</w:t>
            </w:r>
          </w:p>
        </w:tc>
      </w:tr>
    </w:tbl>
    <w:p>
      <w:pPr>
        <w:sectPr>
          <w:headerReference w:type="even" r:id="rId23"/>
          <w:headerReference w:type="default" r:id="rId24"/>
          <w:headerReference w:type="first" r:id="rId25"/>
          <w:footerReference w:type="even" r:id="rId26"/>
          <w:footerReference w:type="default" r:id="rId27"/>
          <w:footerReference w:type="first" r:id="rId28"/>
          <w:type w:val="nextPage"/>
          <w:pgSz w:orient="landscape" w:w="15840" w:h="12240"/>
          <w:pgMar w:left="1080" w:right="1080" w:gutter="0" w:header="720" w:top="1440" w:footer="720" w:bottom="1440"/>
          <w:pgNumType w:fmt="decimal"/>
          <w:formProt w:val="false"/>
          <w:textDirection w:val="lrTb"/>
          <w:docGrid w:type="default" w:linePitch="100" w:charSpace="0"/>
        </w:sectPr>
      </w:pPr>
    </w:p>
    <w:p>
      <w:pPr>
        <w:pStyle w:val="Heading1"/>
        <w:numPr>
          <w:ilvl w:val="0"/>
          <w:numId w:val="1"/>
        </w:numPr>
        <w:spacing w:lineRule="auto" w:line="240" w:before="0" w:after="0"/>
        <w:rPr>
          <w:b/>
        </w:rPr>
      </w:pPr>
      <w:bookmarkStart w:id="4" w:name="_Toc210082070"/>
      <w:r>
        <w:rPr>
          <w:b/>
        </w:rPr>
        <w:t>Процедуре за решавање жалби или спорова</w:t>
      </w:r>
      <w:bookmarkEnd w:id="4"/>
    </w:p>
    <w:p>
      <w:pPr>
        <w:pStyle w:val="Heading1"/>
        <w:numPr>
          <w:ilvl w:val="0"/>
          <w:numId w:val="0"/>
        </w:numPr>
        <w:spacing w:lineRule="auto" w:line="240" w:before="0" w:after="0"/>
        <w:ind w:hanging="0" w:left="360"/>
        <w:rPr>
          <w:b/>
        </w:rPr>
      </w:pPr>
      <w:r>
        <w:rPr>
          <w:b/>
        </w:rPr>
      </w:r>
    </w:p>
    <w:p>
      <w:pPr>
        <w:pStyle w:val="Normal"/>
        <w:spacing w:lineRule="auto" w:line="240" w:before="0" w:after="0"/>
        <w:jc w:val="both"/>
        <w:rPr/>
      </w:pPr>
      <w:r>
        <w:rPr/>
        <w:t>Жалбом се сматрају захтеви за достављање додатних информација и појашњења, приговори, притужбе, коментари и сугестије и други облици изражавања различитих примедби на неку од пројектних активности током имплементације пројектних активности, током планирања и спровођења Потпројеката у локалним самоуправама које су обухваћене Пројектом.</w:t>
      </w:r>
    </w:p>
    <w:p>
      <w:pPr>
        <w:pStyle w:val="Normal"/>
        <w:jc w:val="both"/>
        <w:rPr/>
      </w:pPr>
      <w:r>
        <w:rPr/>
        <w:t>Било којом жалбом у вези са Пројектом може се скренути пажња ЈУП-у без икаквих трошкова за подносиоца жалбе:</w:t>
      </w:r>
    </w:p>
    <w:p>
      <w:pPr>
        <w:pStyle w:val="Normal"/>
        <w:numPr>
          <w:ilvl w:val="0"/>
          <w:numId w:val="4"/>
        </w:numPr>
        <w:spacing w:before="0" w:after="0"/>
        <w:jc w:val="both"/>
        <w:rPr/>
      </w:pPr>
      <w:r>
        <w:rPr>
          <w:color w:val="000000"/>
        </w:rPr>
        <w:t>Усмено (лично или путем телефона), или</w:t>
      </w:r>
    </w:p>
    <w:p>
      <w:pPr>
        <w:pStyle w:val="Normal"/>
        <w:numPr>
          <w:ilvl w:val="0"/>
          <w:numId w:val="4"/>
        </w:numPr>
        <w:jc w:val="both"/>
        <w:rPr/>
      </w:pPr>
      <w:r>
        <w:rPr>
          <w:color w:val="000000"/>
        </w:rPr>
        <w:t>У писаној форми попуњавањем обрасца за жалбе на Пројекат (Прилог 1.) и достављањем лично, поштом, факсом или е-мејлом на наведену адресу/број.</w:t>
      </w:r>
    </w:p>
    <w:p>
      <w:pPr>
        <w:pStyle w:val="Normal"/>
        <w:jc w:val="both"/>
        <w:rPr/>
      </w:pPr>
      <w:r>
        <w:rPr/>
        <w:t xml:space="preserve">Напомена: Жалбе се такође могу поднети анонимно или без употребе обрасца, уколико подносилац тако жели. </w:t>
      </w:r>
    </w:p>
    <w:p>
      <w:pPr>
        <w:pStyle w:val="Normal"/>
        <w:jc w:val="both"/>
        <w:rPr/>
      </w:pPr>
      <w:r>
        <w:rPr/>
        <w:t xml:space="preserve">Контакт подаци Локалног менаџера за жалбе, за подношење било каквих питања или коментара у вези са Пројектом су: </w:t>
      </w:r>
    </w:p>
    <w:p>
      <w:pPr>
        <w:pStyle w:val="Normal"/>
        <w:jc w:val="both"/>
        <w:rPr/>
      </w:pPr>
      <w:r>
        <w:rPr/>
        <w:t>Локални менаџер за жалбе води евиденцију о свим пристиглим жалбама у форми коју договори са Централним менаџером за жалбе.</w:t>
      </w:r>
    </w:p>
    <w:p>
      <w:pPr>
        <w:pStyle w:val="Normal"/>
        <w:pBdr>
          <w:top w:val="single" w:sz="4" w:space="1" w:color="000000"/>
          <w:left w:val="single" w:sz="4" w:space="4" w:color="000000"/>
          <w:bottom w:val="single" w:sz="4" w:space="1" w:color="000000"/>
          <w:right w:val="single" w:sz="4" w:space="4" w:color="000000"/>
        </w:pBdr>
        <w:rPr/>
      </w:pPr>
      <w:bookmarkStart w:id="5" w:name="_heading=h.17dp8vu"/>
      <w:bookmarkEnd w:id="5"/>
      <w:r>
        <w:rPr>
          <w:b/>
        </w:rPr>
        <w:t xml:space="preserve">Јединица локалне самоуправе: </w:t>
      </w:r>
      <w:r>
        <w:rPr>
          <w:b/>
          <w:bCs/>
          <w:lang w:val="en-US"/>
        </w:rPr>
        <w:t>Општина Димитровград</w:t>
      </w:r>
    </w:p>
    <w:p>
      <w:pPr>
        <w:pStyle w:val="Normal"/>
        <w:pBdr>
          <w:top w:val="single" w:sz="4" w:space="1" w:color="000000"/>
          <w:left w:val="single" w:sz="4" w:space="4" w:color="000000"/>
          <w:bottom w:val="single" w:sz="4" w:space="1" w:color="000000"/>
          <w:right w:val="single" w:sz="4" w:space="4" w:color="000000"/>
        </w:pBdr>
        <w:rPr>
          <w:b/>
          <w:color w:val="000000"/>
          <w:sz w:val="24"/>
          <w:szCs w:val="24"/>
          <w:u w:val="single"/>
        </w:rPr>
      </w:pPr>
      <w:r>
        <w:rPr>
          <w:b/>
          <w:u w:val="single"/>
        </w:rPr>
        <w:t xml:space="preserve">Служба </w:t>
      </w:r>
      <w:r>
        <w:rPr>
          <w:b/>
          <w:color w:val="000000"/>
          <w:sz w:val="24"/>
          <w:szCs w:val="24"/>
          <w:u w:val="single"/>
        </w:rPr>
        <w:t>за пријем жалби – Жалбена комисија</w:t>
      </w:r>
    </w:p>
    <w:p>
      <w:pPr>
        <w:pStyle w:val="Normal"/>
        <w:pBdr>
          <w:top w:val="single" w:sz="4" w:space="1" w:color="000000"/>
          <w:left w:val="single" w:sz="4" w:space="4" w:color="000000"/>
          <w:bottom w:val="single" w:sz="4" w:space="1" w:color="000000"/>
          <w:right w:val="single" w:sz="4" w:space="4" w:color="000000"/>
        </w:pBdr>
        <w:rPr/>
      </w:pPr>
      <w:r>
        <w:rPr>
          <w:b/>
        </w:rPr>
        <w:t xml:space="preserve">Адреса: </w:t>
      </w:r>
      <w:r>
        <w:rPr/>
        <w:t> </w:t>
      </w:r>
      <w:r>
        <w:rPr>
          <w:lang w:val="en-US"/>
        </w:rPr>
        <w:t>Балканска 2, 18320 Димитровград</w:t>
      </w:r>
    </w:p>
    <w:p>
      <w:pPr>
        <w:pStyle w:val="Normal"/>
        <w:pBdr>
          <w:top w:val="single" w:sz="4" w:space="1" w:color="000000"/>
          <w:left w:val="single" w:sz="4" w:space="4" w:color="000000"/>
          <w:bottom w:val="single" w:sz="4" w:space="1" w:color="000000"/>
          <w:right w:val="single" w:sz="4" w:space="4" w:color="000000"/>
        </w:pBdr>
        <w:rPr>
          <w:b/>
        </w:rPr>
      </w:pPr>
      <w:r>
        <w:rPr>
          <w:b/>
        </w:rPr>
        <w:t>Е-пошта:</w:t>
      </w:r>
      <w:r>
        <w:rPr/>
        <w:t xml:space="preserve"> </w:t>
      </w:r>
      <w:r>
        <w:rPr>
          <w:rStyle w:val="Hyperlink"/>
          <w:lang w:val="en-GB"/>
        </w:rPr>
        <w:t>nacelnik</w:t>
      </w:r>
      <w:hyperlink r:id="rId29">
        <w:r>
          <w:rPr>
            <w:rStyle w:val="Hyperlink"/>
            <w:lang w:val="en-US"/>
          </w:rPr>
          <w:t>@dimitrovgrad.rs</w:t>
        </w:r>
      </w:hyperlink>
      <w:r>
        <w:rPr/>
        <w:t> </w:t>
      </w:r>
      <w:r>
        <w:rPr>
          <w:b/>
        </w:rPr>
        <w:t xml:space="preserve"> </w:t>
      </w:r>
    </w:p>
    <w:p>
      <w:pPr>
        <w:pStyle w:val="Normal"/>
        <w:pBdr>
          <w:top w:val="single" w:sz="4" w:space="1" w:color="000000"/>
          <w:left w:val="single" w:sz="4" w:space="4" w:color="000000"/>
          <w:bottom w:val="single" w:sz="4" w:space="1" w:color="000000"/>
          <w:right w:val="single" w:sz="4" w:space="4" w:color="000000"/>
        </w:pBdr>
        <w:rPr/>
      </w:pPr>
      <w:r>
        <w:rPr>
          <w:b/>
        </w:rPr>
        <w:t>Број телефона:</w:t>
      </w:r>
      <w:r>
        <w:rPr/>
        <w:t xml:space="preserve"> </w:t>
      </w:r>
      <w:r>
        <w:rPr>
          <w:lang w:val="en-US"/>
        </w:rPr>
        <w:t>+381 10 361 108</w:t>
      </w:r>
    </w:p>
    <w:p>
      <w:pPr>
        <w:pStyle w:val="Normal"/>
        <w:jc w:val="both"/>
        <w:rPr>
          <w:lang w:val="sr-Latn-RS"/>
        </w:rPr>
      </w:pPr>
      <w:r>
        <w:rPr/>
        <w:t>Директно подношење жалби је приоритетно и једино могуће на локалном нивоу, искључиво на начин предвиђен документом Жалбени механизам, који је доступан на локалном нивоу и на нивоу ЈУП-а.</w:t>
      </w:r>
    </w:p>
    <w:p>
      <w:pPr>
        <w:pStyle w:val="Normal"/>
        <w:jc w:val="both"/>
        <w:rPr/>
      </w:pPr>
      <w:r>
        <w:rPr/>
        <w:t xml:space="preserve">Жалбе се на локалу подносе Жалбеној комисији, Комисији за жалбе или Служби за пријем жалби. Када почне изградња, жалбе се такође могу поднети директно извођачу грађевинских радова или стручном надзору (на лицу места). Извођач радова је дужан да обавести </w:t>
      </w:r>
      <w:r>
        <w:rPr>
          <w:color w:val="000000"/>
        </w:rPr>
        <w:t>Службу за пријем жалби, успоставњену на локаном нивоу,</w:t>
      </w:r>
      <w:r>
        <w:rPr/>
        <w:t xml:space="preserve"> о свим жалбама и начину на који им се приступило и решавало.  Контакт подаци за подношење жалбе морају бити видљиви на инфо-табли градилишта како би били јавно доступни у сваком тренутку.</w:t>
      </w:r>
    </w:p>
    <w:p>
      <w:pPr>
        <w:pStyle w:val="Normal"/>
        <w:jc w:val="both"/>
        <w:rPr/>
      </w:pPr>
      <w:r>
        <w:rPr/>
        <w:t>Менаџер за жалбе (локални или централни) прима захтев за достављањем информације или притужбу (лично, телефоном, поштом, е-поштом) и бележи га у регистар жалби, додељујући му одређени референтни број жалбе. Менаџер за жалбе потврђује пријем жалбе у року од 7 радних дана. Жалба се решава, а одговор се даје у року од 7 дана од пријема жалбе. Одговор садржи јасну процену жалбе/захтева, тражене информације и предлог за корективну радњу ако је потребно.</w:t>
      </w:r>
    </w:p>
    <w:p>
      <w:pPr>
        <w:pStyle w:val="Normal"/>
        <w:jc w:val="both"/>
        <w:rPr/>
      </w:pPr>
      <w:r>
        <w:rPr/>
        <w:t xml:space="preserve">ЈУП ће евидентирати све жалбе у Регистар жалби (формат обезбеђен у Прилогу 2), одвојен од Регистра укључивања заинтересованих страна (Прилог 3 овог документа), који детаљно описује интеракције са заједницама и заинтересованих странама. </w:t>
      </w:r>
    </w:p>
    <w:p>
      <w:pPr>
        <w:pStyle w:val="Normal"/>
        <w:jc w:val="both"/>
        <w:rPr/>
      </w:pPr>
      <w:r>
        <w:rPr/>
        <w:t xml:space="preserve">ЈУП ће успоставити Регистар жалби за пројекат. </w:t>
      </w:r>
    </w:p>
    <w:p>
      <w:pPr>
        <w:pStyle w:val="Normal"/>
        <w:jc w:val="both"/>
        <w:rPr/>
      </w:pPr>
      <w:r>
        <w:rPr/>
        <w:t xml:space="preserve">Поступање са осетљивим притужбама </w:t>
      </w:r>
    </w:p>
    <w:p>
      <w:pPr>
        <w:pStyle w:val="Normal"/>
        <w:jc w:val="both"/>
        <w:rPr/>
      </w:pPr>
      <w:r>
        <w:rPr/>
        <w:t xml:space="preserve">Узимајући у обзир стандарде у вези са спречавањем сексуалне експлоатације и злостављања/сексуалног узнемиравања (СЕЗ/СУ), који се, у складу са захтевима Светске банке, морају поштовати у свим пројектима које финансира Светска банка, ови стандарди ће се поштовати и биће предузете мере за подизање свести о превенцији и сузбијању СЗ/СУ. У свим фазама имплементације пројекта, сво пројектно особље и извођачи радова биће информисани о разумевању принципа контроле и превенције ризика од СЕЗ/СУ. Жалбени механизам ће омогућити подношење поверљивих притужби, без страха од одмазде. Ове притужбе ће бити благовремено  истражене, а сви починиоци ће одговарати. Жалбени механизам ће бити широко  доступан и обезбедиће поверљивост личних података. Спровешће се информативне активности ради информисања жена о механизму, које ће сдражати следеће врсте информација: права жена; Самозаштита у случајевима насиља и сексуалног злостављања; бројеви телефона за хитне случајеве; Контакт подаци институција и организација код којих се могу обратити; Жалбени механизам и политика приватности; </w:t>
      </w:r>
    </w:p>
    <w:p>
      <w:pPr>
        <w:pStyle w:val="Normal"/>
        <w:jc w:val="both"/>
        <w:rPr/>
      </w:pPr>
      <w:r>
        <w:rPr/>
        <w:t>Информација о жалбеном  механизму биће доступна у свим информативним материјалима. Извођач радова  ће бити одговоран за развој СЕЗ/СУ протокола који ће се примењивати на своје запослене и запослене подизвођаче који раде на Пројекту. Овај протокол, заједно са осталим захтевима у погледу перформансе извођача биће достављени ЈУП-у на преглед и одобрење пре него што извођачима буде дозвољено да почну са радовима.</w:t>
      </w:r>
    </w:p>
    <w:p>
      <w:pPr>
        <w:pStyle w:val="Heading1"/>
        <w:numPr>
          <w:ilvl w:val="0"/>
          <w:numId w:val="1"/>
        </w:numPr>
        <w:spacing w:before="280" w:after="280"/>
        <w:rPr>
          <w:color w:val="2F5496"/>
          <w:szCs w:val="28"/>
        </w:rPr>
      </w:pPr>
      <w:bookmarkStart w:id="6" w:name="_Toc210082071"/>
      <w:r>
        <w:rPr>
          <w:color w:val="2F5496"/>
          <w:szCs w:val="28"/>
        </w:rPr>
        <w:t>Праћење и извештавање:</w:t>
      </w:r>
      <w:bookmarkEnd w:id="6"/>
    </w:p>
    <w:p>
      <w:pPr>
        <w:pStyle w:val="Normal"/>
        <w:spacing w:lineRule="auto" w:line="240" w:before="0" w:after="0"/>
        <w:jc w:val="both"/>
        <w:rPr>
          <w:color w:val="000000"/>
        </w:rPr>
      </w:pPr>
      <w:r>
        <w:rPr>
          <w:color w:val="000000"/>
        </w:rPr>
        <w:t xml:space="preserve">Резултати процеса укључивања заинтересованих страна биће укључени у извештаје о животној средини и социјалним питањима за СБ, које ће припремити ЈУП, сумирајући утицаје на животну средину и социјална питања, здравље и безбедност, објављивања и учинак консултација и имплементацију жалбеног механизма. </w:t>
      </w:r>
    </w:p>
    <w:p>
      <w:pPr>
        <w:pStyle w:val="Normal"/>
        <w:spacing w:lineRule="auto" w:line="240" w:before="0" w:after="0"/>
        <w:jc w:val="both"/>
        <w:rPr>
          <w:color w:val="000000"/>
        </w:rPr>
      </w:pPr>
      <w:r>
        <w:rPr>
          <w:color w:val="000000"/>
        </w:rPr>
      </w:r>
    </w:p>
    <w:p>
      <w:pPr>
        <w:pStyle w:val="Normal"/>
        <w:spacing w:lineRule="auto" w:line="240" w:before="0" w:after="0"/>
        <w:jc w:val="both"/>
        <w:rPr>
          <w:color w:val="000000"/>
        </w:rPr>
      </w:pPr>
      <w:r>
        <w:rPr>
          <w:color w:val="000000"/>
        </w:rPr>
        <w:t xml:space="preserve">Извештаји ће садржати следеће информације: </w:t>
      </w:r>
    </w:p>
    <w:p>
      <w:pPr>
        <w:pStyle w:val="Normal"/>
        <w:numPr>
          <w:ilvl w:val="0"/>
          <w:numId w:val="3"/>
        </w:numPr>
        <w:spacing w:lineRule="auto" w:line="240" w:before="0" w:after="0"/>
        <w:jc w:val="both"/>
        <w:rPr>
          <w:color w:val="000000"/>
        </w:rPr>
      </w:pPr>
      <w:r>
        <w:rPr>
          <w:color w:val="000000"/>
        </w:rPr>
        <w:t xml:space="preserve">Број и врсте примљених жалби заједнице поднетих у периоду извештавања, са назнаком отворених, решених и затворених жалби и да ли су решене у роковима наведеним у жалбеном механизму; </w:t>
      </w:r>
    </w:p>
    <w:p>
      <w:pPr>
        <w:pStyle w:val="Normal"/>
        <w:numPr>
          <w:ilvl w:val="0"/>
          <w:numId w:val="3"/>
        </w:numPr>
        <w:spacing w:lineRule="auto" w:line="240" w:before="0" w:after="0"/>
        <w:jc w:val="both"/>
        <w:rPr>
          <w:color w:val="000000"/>
        </w:rPr>
      </w:pPr>
      <w:r>
        <w:rPr>
          <w:color w:val="000000"/>
        </w:rPr>
        <w:t xml:space="preserve">Број и врсте информација и активности објављених преко медија и званичних интернет страница; </w:t>
      </w:r>
    </w:p>
    <w:p>
      <w:pPr>
        <w:pStyle w:val="Normal"/>
        <w:numPr>
          <w:ilvl w:val="0"/>
          <w:numId w:val="3"/>
        </w:numPr>
        <w:spacing w:lineRule="auto" w:line="240" w:before="0" w:after="0"/>
        <w:jc w:val="both"/>
        <w:rPr>
          <w:color w:val="000000"/>
        </w:rPr>
      </w:pPr>
      <w:r>
        <w:rPr>
          <w:color w:val="000000"/>
        </w:rPr>
        <w:t xml:space="preserve">Време и место одржавања консултативних састанака и других врста активности укључивања заинтересованих страна, са информацијом о броју и полу учесника; проблемима и забринутостима истакнутих током састанака и информације о томе како је ЈУП узео у обзир истакнуте проблеме. </w:t>
      </w:r>
    </w:p>
    <w:p>
      <w:pPr>
        <w:pStyle w:val="Normal"/>
        <w:spacing w:lineRule="auto" w:line="240" w:before="0" w:after="0"/>
        <w:jc w:val="both"/>
        <w:rPr>
          <w:color w:val="000000"/>
        </w:rPr>
      </w:pPr>
      <w:r>
        <w:rPr>
          <w:color w:val="000000"/>
        </w:rPr>
      </w:r>
    </w:p>
    <w:p>
      <w:pPr>
        <w:pStyle w:val="Normal"/>
        <w:spacing w:lineRule="auto" w:line="240" w:before="0" w:after="0"/>
        <w:jc w:val="both"/>
        <w:rPr/>
      </w:pPr>
      <w:r>
        <w:rPr/>
        <w:t xml:space="preserve">ЈУП ће бити одговоран за праћење сви активности заинтересованих страна у вези са Пројектом, обезбеђивање испуњења и ажурирања овог Плана, и извештавање СБ. </w:t>
      </w:r>
    </w:p>
    <w:p>
      <w:pPr>
        <w:pStyle w:val="Normal"/>
        <w:jc w:val="both"/>
        <w:rPr/>
      </w:pPr>
      <w:r>
        <w:rPr/>
        <w:t>Прилог 3 овог Плана садржи образац за праћење активности заинтересованих страна.</w:t>
      </w:r>
    </w:p>
    <w:p>
      <w:pPr>
        <w:sectPr>
          <w:headerReference w:type="even" r:id="rId30"/>
          <w:headerReference w:type="default" r:id="rId31"/>
          <w:headerReference w:type="first" r:id="rId32"/>
          <w:footerReference w:type="even" r:id="rId33"/>
          <w:footerReference w:type="default" r:id="rId34"/>
          <w:footerReference w:type="first" r:id="rId35"/>
          <w:type w:val="nextPage"/>
          <w:pgSz w:w="12240" w:h="15840"/>
          <w:pgMar w:left="1440" w:right="1440" w:gutter="0" w:header="720" w:top="1440" w:footer="720" w:bottom="1440"/>
          <w:pgNumType w:fmt="decimal"/>
          <w:formProt w:val="false"/>
          <w:textDirection w:val="lrTb"/>
          <w:docGrid w:type="default" w:linePitch="100" w:charSpace="0"/>
        </w:sectPr>
        <w:pStyle w:val="Heading1"/>
        <w:numPr>
          <w:ilvl w:val="0"/>
          <w:numId w:val="1"/>
        </w:numPr>
        <w:spacing w:before="280" w:after="280"/>
        <w:rPr/>
      </w:pPr>
      <w:bookmarkStart w:id="7" w:name="_Toc210082072"/>
      <w:r>
        <w:rPr/>
        <w:t>Одобрење и потписи:</w:t>
      </w:r>
      <w:bookmarkEnd w:id="7"/>
    </w:p>
    <w:p>
      <w:pPr>
        <w:pStyle w:val="Heading2"/>
        <w:rPr/>
      </w:pPr>
      <w:bookmarkStart w:id="8" w:name="_Toc210082073"/>
      <w:r>
        <w:rPr/>
        <w:t>Прилог 01 - Жалбени формулар</w:t>
      </w:r>
      <w:bookmarkEnd w:id="8"/>
      <w:r>
        <w:rPr/>
        <w:t xml:space="preserve"> </w:t>
      </w:r>
    </w:p>
    <w:p>
      <w:pPr>
        <w:pStyle w:val="Normal"/>
        <w:tabs>
          <w:tab w:val="clear" w:pos="720"/>
          <w:tab w:val="center" w:pos="4680" w:leader="none"/>
          <w:tab w:val="right" w:pos="9360" w:leader="none"/>
        </w:tabs>
        <w:spacing w:lineRule="auto" w:line="240" w:before="0" w:after="0"/>
        <w:jc w:val="center"/>
        <w:rPr>
          <w:b/>
          <w:color w:themeColor="accent5" w:themeShade="bf" w:val="000000"/>
          <w:u w:val="single"/>
        </w:rPr>
      </w:pPr>
      <w:r>
        <w:rPr>
          <w:b/>
          <w:color w:themeColor="accent5" w:themeShade="bf" w:val="000000"/>
          <w:u w:val="single"/>
        </w:rPr>
        <w:t xml:space="preserve">Пројекат развоја локалне инфраструктуре и институционалног јачања локалних самоуправa </w:t>
      </w:r>
    </w:p>
    <w:p>
      <w:pPr>
        <w:pStyle w:val="Normal"/>
        <w:tabs>
          <w:tab w:val="clear" w:pos="720"/>
          <w:tab w:val="center" w:pos="4680" w:leader="none"/>
          <w:tab w:val="right" w:pos="9360" w:leader="none"/>
        </w:tabs>
        <w:spacing w:lineRule="auto" w:line="240" w:before="0" w:after="0"/>
        <w:jc w:val="center"/>
        <w:rPr>
          <w:b/>
          <w:color w:val="000000"/>
        </w:rPr>
      </w:pPr>
      <w:r>
        <w:rPr>
          <w:b/>
          <w:color w:val="000000"/>
        </w:rPr>
      </w:r>
    </w:p>
    <w:p>
      <w:pPr>
        <w:pStyle w:val="Normal"/>
        <w:spacing w:lineRule="auto" w:line="240" w:before="0" w:after="0"/>
        <w:jc w:val="center"/>
        <w:rPr>
          <w:b/>
          <w:color w:themeColor="accent5" w:themeShade="bf" w:val="000000"/>
          <w:sz w:val="28"/>
          <w:szCs w:val="28"/>
        </w:rPr>
      </w:pPr>
      <w:r>
        <w:rPr>
          <w:b/>
          <w:color w:themeColor="accent5" w:themeShade="bf" w:val="000000"/>
          <w:sz w:val="28"/>
          <w:szCs w:val="28"/>
        </w:rPr>
        <w:t>ЖАЛБЕНИ ФОРМУЛАР</w:t>
      </w:r>
    </w:p>
    <w:p>
      <w:pPr>
        <w:pStyle w:val="Normal"/>
        <w:spacing w:lineRule="auto" w:line="240" w:before="0" w:after="0"/>
        <w:jc w:val="both"/>
        <w:rPr>
          <w:color w:val="000000"/>
        </w:rPr>
      </w:pPr>
      <w:r>
        <w:rPr>
          <w:color w:val="000000"/>
        </w:rPr>
      </w:r>
    </w:p>
    <w:p>
      <w:pPr>
        <w:pStyle w:val="Normal"/>
        <w:spacing w:lineRule="auto" w:line="240" w:before="0" w:after="0"/>
        <w:jc w:val="both"/>
        <w:rPr>
          <w:color w:themeColor="accent5" w:themeShade="bf" w:val="000000"/>
        </w:rPr>
      </w:pPr>
      <w:r>
        <w:rPr>
          <w:color w:themeColor="accent5" w:themeShade="bf" w:val="000000"/>
        </w:rPr>
        <w:t>Уколико имате питања или примедбе на активности и процедуре током реализације Пројекта, развоја локалне инфраструктуре и институционалног развоја (</w:t>
      </w:r>
      <w:r>
        <w:rPr>
          <w:smallCaps/>
          <w:color w:themeColor="accent5" w:themeShade="bf" w:val="000000"/>
        </w:rPr>
        <w:t>LIID</w:t>
      </w:r>
      <w:r>
        <w:rPr>
          <w:color w:themeColor="accent5" w:themeShade="bf" w:val="000000"/>
        </w:rPr>
        <w:t>), молимо Вас да попуните овај формулар у складу са успостављеним жалбеним механизмом.</w:t>
      </w:r>
    </w:p>
    <w:p>
      <w:pPr>
        <w:pStyle w:val="Normal"/>
        <w:spacing w:lineRule="auto" w:line="240" w:before="0" w:after="0"/>
        <w:jc w:val="both"/>
        <w:rPr>
          <w:color w:val="000000"/>
        </w:rPr>
      </w:pPr>
      <w:r>
        <w:rPr>
          <w:color w:val="000000"/>
        </w:rPr>
      </w:r>
    </w:p>
    <w:p>
      <w:pPr>
        <w:pStyle w:val="Normal"/>
        <w:jc w:val="both"/>
        <w:rPr/>
      </w:pPr>
      <w:r>
        <w:rPr/>
        <w:t xml:space="preserve">Напомена: жалба и/или притужба, сугестија се односи искључиво на пројекат </w:t>
      </w:r>
      <w:r>
        <w:rPr>
          <w:smallCaps/>
        </w:rPr>
        <w:t>LIID</w:t>
      </w:r>
      <w:r>
        <w:rPr>
          <w:b/>
        </w:rPr>
        <w:t>.</w:t>
      </w:r>
    </w:p>
    <w:p>
      <w:pPr>
        <w:pStyle w:val="Normal"/>
        <w:spacing w:lineRule="auto" w:line="240" w:before="0" w:after="0"/>
        <w:jc w:val="both"/>
        <w:rPr>
          <w:color w:val="000000"/>
        </w:rPr>
      </w:pPr>
      <w:r>
        <w:rPr>
          <w:color w:val="000000"/>
        </w:rPr>
      </w:r>
    </w:p>
    <w:tbl>
      <w:tblPr>
        <w:tblStyle w:val="4"/>
        <w:tblW w:w="9330" w:type="dxa"/>
        <w:jc w:val="left"/>
        <w:tblInd w:w="0" w:type="dxa"/>
        <w:tblLayout w:type="fixed"/>
        <w:tblCellMar>
          <w:top w:w="0" w:type="dxa"/>
          <w:left w:w="108" w:type="dxa"/>
          <w:bottom w:w="0" w:type="dxa"/>
          <w:right w:w="108" w:type="dxa"/>
        </w:tblCellMar>
        <w:tblLook w:firstRow="0" w:noVBand="1" w:lastRow="0" w:firstColumn="0" w:lastColumn="0" w:noHBand="0" w:val="0400"/>
      </w:tblPr>
      <w:tblGrid>
        <w:gridCol w:w="693"/>
        <w:gridCol w:w="3422"/>
        <w:gridCol w:w="1241"/>
        <w:gridCol w:w="250"/>
        <w:gridCol w:w="1879"/>
        <w:gridCol w:w="1844"/>
      </w:tblGrid>
      <w:tr>
        <w:trPr/>
        <w:tc>
          <w:tcPr>
            <w:tcW w:w="9329" w:type="dxa"/>
            <w:gridSpan w:val="6"/>
            <w:tcBorders>
              <w:top w:val="single" w:sz="12" w:space="0" w:color="000000"/>
              <w:left w:val="single" w:sz="12" w:space="0" w:color="000000"/>
              <w:bottom w:val="single" w:sz="4" w:space="0" w:color="000000"/>
              <w:right w:val="single" w:sz="12" w:space="0" w:color="000000"/>
            </w:tcBorders>
            <w:shd w:color="auto" w:fill="BFBFBF" w:val="clear"/>
          </w:tcPr>
          <w:p>
            <w:pPr>
              <w:pStyle w:val="Normal"/>
              <w:widowControl/>
              <w:suppressAutoHyphens w:val="true"/>
              <w:spacing w:lineRule="auto" w:line="240" w:before="0" w:after="0"/>
              <w:jc w:val="both"/>
              <w:rPr>
                <w:b/>
                <w:color w:themeColor="accent5" w:themeShade="bf" w:val="000000"/>
              </w:rPr>
            </w:pPr>
            <w:r>
              <w:rPr>
                <w:rFonts w:eastAsia="Calibri" w:cs="Calibri"/>
                <w:b/>
                <w:color w:themeColor="accent5" w:themeShade="bf" w:val="000000"/>
                <w:kern w:val="0"/>
                <w:sz w:val="22"/>
                <w:szCs w:val="22"/>
                <w:lang w:val="sr-RS" w:eastAsia="en-GB" w:bidi="ar-SA"/>
              </w:rPr>
              <w:t>Контакт подаци</w:t>
            </w:r>
          </w:p>
        </w:tc>
      </w:tr>
      <w:tr>
        <w:trPr/>
        <w:tc>
          <w:tcPr>
            <w:tcW w:w="9329" w:type="dxa"/>
            <w:gridSpan w:val="6"/>
            <w:tcBorders>
              <w:top w:val="single" w:sz="4" w:space="0" w:color="000000"/>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Ваше име и презиме и контакт подаци неће бити објављени, нити ће бити доступни јавно. Ови подаци ће бити коришћени искључиво за евентуалну даљу комуникацију са Вама у вези послатог питања или жалбе.</w:t>
            </w:r>
          </w:p>
        </w:tc>
      </w:tr>
      <w:tr>
        <w:trPr/>
        <w:tc>
          <w:tcPr>
            <w:tcW w:w="4115" w:type="dxa"/>
            <w:gridSpan w:val="2"/>
            <w:tcBorders>
              <w:top w:val="single" w:sz="4" w:space="0" w:color="000000"/>
              <w:left w:val="single" w:sz="12" w:space="0" w:color="000000"/>
              <w:bottom w:val="single" w:sz="4" w:space="0" w:color="000000"/>
              <w:right w:val="single" w:sz="4"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000000"/>
                <w:kern w:val="0"/>
                <w:sz w:val="22"/>
                <w:szCs w:val="22"/>
                <w:lang w:val="sr-RS" w:eastAsia="en-GB" w:bidi="ar-SA"/>
              </w:rPr>
              <w:t>Број жалбе у интерној евиденцији</w:t>
            </w:r>
          </w:p>
        </w:tc>
        <w:tc>
          <w:tcPr>
            <w:tcW w:w="1241" w:type="dxa"/>
            <w:tcBorders>
              <w:top w:val="single" w:sz="4" w:space="0" w:color="000000"/>
              <w:left w:val="single" w:sz="4" w:space="0" w:color="000000"/>
              <w:bottom w:val="single" w:sz="4" w:space="0" w:color="000000"/>
              <w:right w:val="single" w:sz="4" w:space="0" w:color="BFBFBF"/>
            </w:tcBorders>
          </w:tcPr>
          <w:p>
            <w:pPr>
              <w:pStyle w:val="Normal"/>
              <w:widowControl/>
              <w:suppressAutoHyphens w:val="true"/>
              <w:spacing w:lineRule="auto" w:line="240" w:before="0" w:after="0"/>
              <w:jc w:val="both"/>
              <w:rPr>
                <w:color w:val="000000"/>
              </w:rPr>
            </w:pPr>
            <w:r>
              <w:rPr>
                <w:color w:val="000000"/>
              </w:rPr>
            </w:r>
          </w:p>
        </w:tc>
        <w:tc>
          <w:tcPr>
            <w:tcW w:w="3973" w:type="dxa"/>
            <w:gridSpan w:val="3"/>
            <w:tcBorders>
              <w:top w:val="single" w:sz="4" w:space="0" w:color="000000"/>
              <w:left w:val="single" w:sz="4" w:space="0" w:color="BFBFBF"/>
              <w:bottom w:val="single" w:sz="4" w:space="0" w:color="000000"/>
              <w:right w:val="single" w:sz="12" w:space="0" w:color="000000"/>
            </w:tcBorders>
          </w:tcPr>
          <w:p>
            <w:pPr>
              <w:pStyle w:val="Normal"/>
              <w:widowControl/>
              <w:suppressAutoHyphens w:val="true"/>
              <w:spacing w:lineRule="auto" w:line="240" w:before="0" w:after="0"/>
              <w:jc w:val="left"/>
              <w:rPr>
                <w:color w:val="000000"/>
              </w:rPr>
            </w:pPr>
            <w:r>
              <w:rPr>
                <w:color w:val="000000"/>
              </w:rPr>
            </w:r>
          </w:p>
        </w:tc>
      </w:tr>
      <w:tr>
        <w:trPr/>
        <w:tc>
          <w:tcPr>
            <w:tcW w:w="693" w:type="dxa"/>
            <w:tcBorders>
              <w:top w:val="single" w:sz="4" w:space="0" w:color="000000"/>
              <w:left w:val="single" w:sz="12" w:space="0" w:color="000000"/>
              <w:bottom w:val="single" w:sz="4"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Име:</w:t>
            </w:r>
          </w:p>
        </w:tc>
        <w:tc>
          <w:tcPr>
            <w:tcW w:w="3422" w:type="dxa"/>
            <w:tcBorders>
              <w:top w:val="single" w:sz="4" w:space="0" w:color="000000"/>
              <w:left w:val="single" w:sz="4" w:space="0" w:color="BFBFBF"/>
              <w:bottom w:val="single" w:sz="4" w:space="0" w:color="000000"/>
              <w:right w:val="single" w:sz="4"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упишите име</w:t>
            </w:r>
          </w:p>
        </w:tc>
        <w:tc>
          <w:tcPr>
            <w:tcW w:w="1241" w:type="dxa"/>
            <w:tcBorders>
              <w:top w:val="single" w:sz="4" w:space="0" w:color="000000"/>
              <w:left w:val="single" w:sz="4" w:space="0" w:color="000000"/>
              <w:bottom w:val="single" w:sz="4"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Презиме:</w:t>
            </w:r>
          </w:p>
        </w:tc>
        <w:tc>
          <w:tcPr>
            <w:tcW w:w="3973" w:type="dxa"/>
            <w:gridSpan w:val="3"/>
            <w:tcBorders>
              <w:top w:val="single" w:sz="4" w:space="0" w:color="000000"/>
              <w:left w:val="single" w:sz="4" w:space="0" w:color="BFBFBF"/>
              <w:bottom w:val="single" w:sz="4" w:space="0" w:color="000000"/>
              <w:right w:val="single" w:sz="12"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упишите презиме</w:t>
            </w:r>
          </w:p>
        </w:tc>
      </w:tr>
      <w:tr>
        <w:trPr/>
        <w:tc>
          <w:tcPr>
            <w:tcW w:w="9329" w:type="dxa"/>
            <w:gridSpan w:val="6"/>
            <w:tcBorders>
              <w:top w:val="single" w:sz="4" w:space="0" w:color="000000"/>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both"/>
              <w:rPr>
                <w:color w:val="000000"/>
                <w:sz w:val="16"/>
                <w:szCs w:val="16"/>
              </w:rPr>
            </w:pPr>
            <w:r>
              <w:rPr>
                <w:color w:val="000000"/>
                <w:sz w:val="16"/>
                <w:szCs w:val="16"/>
              </w:rPr>
            </w:r>
          </w:p>
        </w:tc>
      </w:tr>
      <w:tr>
        <w:trPr>
          <w:trHeight w:val="784" w:hRule="atLeast"/>
        </w:trPr>
        <w:tc>
          <w:tcPr>
            <w:tcW w:w="7485" w:type="dxa"/>
            <w:gridSpan w:val="5"/>
            <w:tcBorders>
              <w:top w:val="single" w:sz="4" w:space="0" w:color="000000"/>
              <w:left w:val="single" w:sz="12" w:space="0" w:color="000000"/>
              <w:bottom w:val="single" w:sz="4"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Пол подносица питања или жалбе (служи искључиво у сврху статистичке обраде и аналитичког приказа; изјашњењем дајете пристанак на статистичку обраду података):</w:t>
            </w:r>
          </w:p>
        </w:tc>
        <w:tc>
          <w:tcPr>
            <w:tcW w:w="1844" w:type="dxa"/>
            <w:tcBorders>
              <w:top w:val="single" w:sz="4" w:space="0" w:color="000000"/>
              <w:left w:val="single" w:sz="4" w:space="0" w:color="BFBFBF"/>
              <w:bottom w:val="single" w:sz="4" w:space="0" w:color="000000"/>
              <w:right w:val="single" w:sz="12" w:space="0" w:color="000000"/>
            </w:tcBorders>
          </w:tcPr>
          <w:p>
            <w:pPr>
              <w:pStyle w:val="Normal"/>
              <w:widowControl/>
              <w:suppressAutoHyphens w:val="true"/>
              <w:spacing w:lineRule="auto" w:line="240" w:before="0" w:after="0"/>
              <w:jc w:val="both"/>
              <w:rPr>
                <w:color w:themeColor="accent5" w:themeShade="bf" w:val="000000"/>
              </w:rPr>
            </w:pPr>
            <w:sdt>
              <w:sdtPr>
                <w:tag w:val="goog_rdk_0"/>
                <w:id w:val="-2110198606"/>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Мушки</w:t>
            </w:r>
          </w:p>
          <w:p>
            <w:pPr>
              <w:pStyle w:val="Normal"/>
              <w:widowControl/>
              <w:suppressAutoHyphens w:val="true"/>
              <w:spacing w:lineRule="auto" w:line="240" w:before="0" w:after="0"/>
              <w:jc w:val="both"/>
              <w:rPr>
                <w:color w:themeColor="accent5" w:themeShade="bf" w:val="000000"/>
              </w:rPr>
            </w:pPr>
            <w:sdt>
              <w:sdtPr>
                <w:tag w:val="goog_rdk_1"/>
                <w:id w:val="-796057312"/>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Женски</w:t>
            </w:r>
          </w:p>
          <w:p>
            <w:pPr>
              <w:pStyle w:val="Normal"/>
              <w:widowControl/>
              <w:suppressAutoHyphens w:val="true"/>
              <w:spacing w:lineRule="auto" w:line="240" w:before="0" w:after="0"/>
              <w:jc w:val="both"/>
              <w:rPr>
                <w:color w:themeColor="accent5" w:themeShade="bf" w:val="000000"/>
              </w:rPr>
            </w:pPr>
            <w:sdt>
              <w:sdtPr>
                <w:tag w:val="goog_rdk_2"/>
                <w:id w:val="342210450"/>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Други</w:t>
            </w:r>
          </w:p>
        </w:tc>
      </w:tr>
      <w:tr>
        <w:trPr/>
        <w:tc>
          <w:tcPr>
            <w:tcW w:w="9329" w:type="dxa"/>
            <w:gridSpan w:val="6"/>
            <w:tcBorders>
              <w:top w:val="single" w:sz="4" w:space="0" w:color="000000"/>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both"/>
              <w:rPr>
                <w:color w:val="000000"/>
              </w:rPr>
            </w:pPr>
            <w:r>
              <w:rPr>
                <w:color w:val="000000"/>
              </w:rPr>
            </w:r>
          </w:p>
        </w:tc>
      </w:tr>
      <w:tr>
        <w:trPr/>
        <w:tc>
          <w:tcPr>
            <w:tcW w:w="5356" w:type="dxa"/>
            <w:gridSpan w:val="3"/>
            <w:tcBorders>
              <w:top w:val="single" w:sz="4" w:space="0" w:color="000000"/>
              <w:left w:val="single" w:sz="12" w:space="0" w:color="000000"/>
              <w:bottom w:val="single" w:sz="4" w:space="0" w:color="BFBFBF"/>
              <w:right w:val="single" w:sz="4"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Електронска пошта (e-mail):</w:t>
            </w:r>
          </w:p>
        </w:tc>
        <w:tc>
          <w:tcPr>
            <w:tcW w:w="3973" w:type="dxa"/>
            <w:gridSpan w:val="3"/>
            <w:tcBorders>
              <w:top w:val="single" w:sz="4" w:space="0" w:color="000000"/>
              <w:left w:val="single" w:sz="4" w:space="0" w:color="000000"/>
              <w:bottom w:val="single" w:sz="4" w:space="0" w:color="BFBFBF"/>
              <w:right w:val="single" w:sz="12"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Број телефона:</w:t>
            </w:r>
          </w:p>
        </w:tc>
      </w:tr>
      <w:tr>
        <w:trPr/>
        <w:tc>
          <w:tcPr>
            <w:tcW w:w="5356" w:type="dxa"/>
            <w:gridSpan w:val="3"/>
            <w:tcBorders>
              <w:top w:val="single" w:sz="4" w:space="0" w:color="BFBFBF"/>
              <w:left w:val="single" w:sz="12" w:space="0" w:color="000000"/>
              <w:bottom w:val="single" w:sz="4" w:space="0" w:color="000000"/>
              <w:right w:val="single" w:sz="4"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упишите e-mail адресу</w:t>
            </w:r>
          </w:p>
        </w:tc>
        <w:tc>
          <w:tcPr>
            <w:tcW w:w="3973" w:type="dxa"/>
            <w:gridSpan w:val="3"/>
            <w:tcBorders>
              <w:top w:val="single" w:sz="4" w:space="0" w:color="BFBFBF"/>
              <w:left w:val="single" w:sz="4" w:space="0" w:color="000000"/>
              <w:bottom w:val="single" w:sz="4" w:space="0" w:color="000000"/>
              <w:right w:val="single" w:sz="12" w:space="0" w:color="000000"/>
            </w:tcBorders>
          </w:tcPr>
          <w:p>
            <w:pPr>
              <w:pStyle w:val="Normal"/>
              <w:widowControl/>
              <w:suppressAutoHyphens w:val="true"/>
              <w:spacing w:lineRule="auto" w:line="240" w:before="0" w:after="0"/>
              <w:jc w:val="left"/>
              <w:rPr>
                <w:color w:themeColor="accent5" w:themeShade="bf" w:val="808080"/>
              </w:rPr>
            </w:pPr>
            <w:r>
              <w:rPr>
                <w:rFonts w:eastAsia="Calibri" w:cs="Calibri"/>
                <w:color w:themeColor="accent5" w:themeShade="bf" w:val="808080"/>
                <w:kern w:val="0"/>
                <w:sz w:val="22"/>
                <w:szCs w:val="22"/>
                <w:lang w:val="sr-RS" w:eastAsia="en-GB" w:bidi="ar-SA"/>
              </w:rPr>
              <w:t>Овде упишите бр. телефона</w:t>
            </w:r>
          </w:p>
        </w:tc>
      </w:tr>
      <w:tr>
        <w:trPr>
          <w:trHeight w:val="134" w:hRule="atLeast"/>
        </w:trPr>
        <w:tc>
          <w:tcPr>
            <w:tcW w:w="4115" w:type="dxa"/>
            <w:gridSpan w:val="2"/>
            <w:tcBorders>
              <w:top w:val="single" w:sz="4" w:space="0" w:color="000000"/>
              <w:left w:val="single" w:sz="12" w:space="0" w:color="000000"/>
              <w:bottom w:val="single" w:sz="4" w:space="0" w:color="000000"/>
            </w:tcBorders>
          </w:tcPr>
          <w:p>
            <w:pPr>
              <w:pStyle w:val="Normal"/>
              <w:widowControl/>
              <w:suppressAutoHyphens w:val="true"/>
              <w:spacing w:lineRule="auto" w:line="240" w:before="0" w:after="0"/>
              <w:jc w:val="both"/>
              <w:rPr>
                <w:color w:val="000000"/>
              </w:rPr>
            </w:pPr>
            <w:r>
              <w:rPr>
                <w:color w:val="000000"/>
              </w:rPr>
            </w:r>
          </w:p>
        </w:tc>
        <w:tc>
          <w:tcPr>
            <w:tcW w:w="5214" w:type="dxa"/>
            <w:gridSpan w:val="4"/>
            <w:tcBorders>
              <w:top w:val="single" w:sz="4" w:space="0" w:color="000000"/>
              <w:bottom w:val="single" w:sz="4" w:space="0" w:color="000000"/>
              <w:right w:val="single" w:sz="12" w:space="0" w:color="000000"/>
            </w:tcBorders>
          </w:tcPr>
          <w:p>
            <w:pPr>
              <w:pStyle w:val="Normal"/>
              <w:widowControl/>
              <w:suppressAutoHyphens w:val="true"/>
              <w:spacing w:lineRule="auto" w:line="240" w:before="0" w:after="0"/>
              <w:jc w:val="both"/>
              <w:rPr>
                <w:color w:val="000000"/>
              </w:rPr>
            </w:pPr>
            <w:r>
              <w:rPr>
                <w:color w:val="000000"/>
              </w:rPr>
            </w:r>
          </w:p>
        </w:tc>
      </w:tr>
      <w:tr>
        <w:trPr/>
        <w:tc>
          <w:tcPr>
            <w:tcW w:w="5606" w:type="dxa"/>
            <w:gridSpan w:val="4"/>
            <w:tcBorders>
              <w:top w:val="single" w:sz="4" w:space="0" w:color="000000"/>
              <w:left w:val="single" w:sz="12" w:space="0" w:color="000000"/>
              <w:bottom w:val="single" w:sz="12"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Поштанска адреса – за пријем писаног одговора (молимо Вас да упишете пуну адресу: улица и број, поштански број места и назив места):</w:t>
            </w:r>
          </w:p>
        </w:tc>
        <w:tc>
          <w:tcPr>
            <w:tcW w:w="3723" w:type="dxa"/>
            <w:gridSpan w:val="2"/>
            <w:tcBorders>
              <w:top w:val="single" w:sz="4" w:space="0" w:color="000000"/>
              <w:left w:val="single" w:sz="4" w:space="0" w:color="BFBFBF"/>
              <w:bottom w:val="single" w:sz="12" w:space="0" w:color="000000"/>
              <w:right w:val="single" w:sz="12"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упишите поштанску адресу</w:t>
            </w:r>
          </w:p>
        </w:tc>
      </w:tr>
      <w:tr>
        <w:trPr/>
        <w:tc>
          <w:tcPr>
            <w:tcW w:w="5606" w:type="dxa"/>
            <w:gridSpan w:val="4"/>
            <w:tcBorders>
              <w:top w:val="single" w:sz="4" w:space="0" w:color="000000"/>
              <w:left w:val="single" w:sz="12" w:space="0" w:color="000000"/>
              <w:bottom w:val="single" w:sz="12"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Пратићу исход на вебсајту, пошто желим да будем анониман.</w:t>
            </w:r>
          </w:p>
        </w:tc>
        <w:tc>
          <w:tcPr>
            <w:tcW w:w="3723" w:type="dxa"/>
            <w:gridSpan w:val="2"/>
            <w:tcBorders>
              <w:top w:val="single" w:sz="4" w:space="0" w:color="000000"/>
              <w:left w:val="single" w:sz="4" w:space="0" w:color="BFBFBF"/>
              <w:bottom w:val="single" w:sz="12" w:space="0" w:color="000000"/>
              <w:right w:val="single" w:sz="12" w:space="0" w:color="000000"/>
            </w:tcBorders>
          </w:tcPr>
          <w:p>
            <w:pPr>
              <w:pStyle w:val="Normal"/>
              <w:widowControl/>
              <w:suppressAutoHyphens w:val="true"/>
              <w:spacing w:lineRule="auto" w:line="240" w:before="0" w:after="0"/>
              <w:jc w:val="both"/>
              <w:rPr>
                <w:color w:themeColor="accent5" w:themeShade="bf" w:val="000000"/>
              </w:rPr>
            </w:pPr>
            <w:sdt>
              <w:sdtPr>
                <w:tag w:val="goog_rdk_3"/>
                <w:id w:val="-1087000392"/>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анонимно праћење одговора</w:t>
            </w:r>
          </w:p>
        </w:tc>
      </w:tr>
      <w:tr>
        <w:trPr/>
        <w:tc>
          <w:tcPr>
            <w:tcW w:w="5606" w:type="dxa"/>
            <w:gridSpan w:val="4"/>
            <w:tcBorders>
              <w:top w:val="single" w:sz="4" w:space="0" w:color="000000"/>
              <w:left w:val="single" w:sz="12" w:space="0" w:color="000000"/>
              <w:bottom w:val="single" w:sz="12" w:space="0" w:color="000000"/>
              <w:right w:val="single" w:sz="4" w:space="0" w:color="BFBFBF"/>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Језик на коме ће се комуникација обављати</w:t>
            </w:r>
          </w:p>
          <w:p>
            <w:pPr>
              <w:pStyle w:val="Normal"/>
              <w:widowControl/>
              <w:suppressAutoHyphens w:val="true"/>
              <w:spacing w:lineRule="auto" w:line="240" w:before="0" w:after="0"/>
              <w:jc w:val="both"/>
              <w:rPr>
                <w:color w:val="000000"/>
              </w:rPr>
            </w:pPr>
            <w:r>
              <w:rPr>
                <w:color w:val="000000"/>
              </w:rPr>
            </w:r>
          </w:p>
        </w:tc>
        <w:tc>
          <w:tcPr>
            <w:tcW w:w="3723" w:type="dxa"/>
            <w:gridSpan w:val="2"/>
            <w:tcBorders>
              <w:top w:val="single" w:sz="4" w:space="0" w:color="000000"/>
              <w:left w:val="single" w:sz="4" w:space="0" w:color="BFBFBF"/>
              <w:bottom w:val="single" w:sz="12" w:space="0" w:color="000000"/>
              <w:right w:val="single" w:sz="12" w:space="0" w:color="000000"/>
            </w:tcBorders>
          </w:tcPr>
          <w:p>
            <w:pPr>
              <w:pStyle w:val="Normal"/>
              <w:widowControl/>
              <w:suppressAutoHyphens w:val="true"/>
              <w:spacing w:lineRule="auto" w:line="240" w:before="0" w:after="0"/>
              <w:jc w:val="both"/>
              <w:rPr>
                <w:color w:themeColor="accent5" w:themeShade="bf" w:val="000000"/>
              </w:rPr>
            </w:pPr>
            <w:sdt>
              <w:sdtPr>
                <w:tag w:val="goog_rdk_4"/>
                <w:id w:val="-264309944"/>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Српски језик</w:t>
            </w:r>
          </w:p>
          <w:p>
            <w:pPr>
              <w:pStyle w:val="Normal"/>
              <w:widowControl/>
              <w:suppressAutoHyphens w:val="true"/>
              <w:spacing w:lineRule="auto" w:line="240" w:before="0" w:after="0"/>
              <w:jc w:val="both"/>
              <w:rPr>
                <w:color w:themeColor="accent5" w:themeShade="bf" w:val="000000"/>
              </w:rPr>
            </w:pPr>
            <w:sdt>
              <w:sdtPr>
                <w:tag w:val="goog_rdk_5"/>
                <w:id w:val="2023813946"/>
              </w:sdtPr>
              <w:sdtContent>
                <w:r>
                  <w:rPr>
                    <w:rFonts w:eastAsia="Arial Unicode MS" w:cs="Arial Unicode MS" w:ascii="Arial Unicode MS" w:hAnsi="Arial Unicode MS"/>
                    <w:color w:themeColor="accent5" w:themeShade="bf" w:val="000000"/>
                    <w:kern w:val="0"/>
                    <w:sz w:val="22"/>
                    <w:szCs w:val="22"/>
                    <w:lang w:val="sr-RS" w:eastAsia="en-GB" w:bidi="ar-SA"/>
                  </w:rPr>
                </w:r>
                <w:r>
                  <w:rPr>
                    <w:rFonts w:eastAsia="Arial Unicode MS" w:cs="Arial Unicode MS" w:ascii="Arial Unicode MS" w:hAnsi="Arial Unicode MS"/>
                    <w:color w:themeColor="accent5" w:themeShade="bf" w:val="000000"/>
                    <w:kern w:val="0"/>
                    <w:sz w:val="22"/>
                    <w:szCs w:val="22"/>
                    <w:lang w:val="sr-RS" w:eastAsia="en-GB" w:bidi="ar-SA"/>
                  </w:rPr>
                  <w:t>☐</w:t>
                </w:r>
              </w:sdtContent>
            </w:sdt>
            <w:r>
              <w:rPr>
                <w:rFonts w:eastAsia="Calibri" w:cs="Calibri"/>
                <w:color w:themeColor="accent5" w:themeShade="bf" w:val="000000"/>
                <w:kern w:val="0"/>
                <w:sz w:val="22"/>
                <w:szCs w:val="22"/>
                <w:lang w:val="sr-RS" w:eastAsia="en-GB" w:bidi="ar-SA"/>
              </w:rPr>
              <w:t xml:space="preserve"> </w:t>
            </w:r>
            <w:r>
              <w:rPr>
                <w:rFonts w:eastAsia="Calibri" w:cs="Calibri"/>
                <w:color w:themeColor="accent5" w:themeShade="bf" w:val="000000"/>
                <w:kern w:val="0"/>
                <w:sz w:val="22"/>
                <w:szCs w:val="22"/>
                <w:lang w:val="sr-RS" w:eastAsia="en-GB" w:bidi="ar-SA"/>
              </w:rPr>
              <w:t>други, __________ језик</w:t>
            </w:r>
          </w:p>
        </w:tc>
      </w:tr>
      <w:tr>
        <w:trPr/>
        <w:tc>
          <w:tcPr>
            <w:tcW w:w="9329" w:type="dxa"/>
            <w:gridSpan w:val="6"/>
            <w:tcBorders>
              <w:top w:val="single" w:sz="12" w:space="0" w:color="000000"/>
              <w:bottom w:val="single" w:sz="12" w:space="0" w:color="000000"/>
            </w:tcBorders>
          </w:tcPr>
          <w:p>
            <w:pPr>
              <w:pStyle w:val="Normal"/>
              <w:widowControl/>
              <w:suppressAutoHyphens w:val="true"/>
              <w:spacing w:lineRule="auto" w:line="240" w:before="0" w:after="0"/>
              <w:jc w:val="both"/>
              <w:rPr>
                <w:color w:val="000000"/>
              </w:rPr>
            </w:pPr>
            <w:r>
              <w:rPr>
                <w:color w:val="000000"/>
              </w:rPr>
            </w:r>
          </w:p>
        </w:tc>
      </w:tr>
      <w:tr>
        <w:trPr/>
        <w:tc>
          <w:tcPr>
            <w:tcW w:w="9329" w:type="dxa"/>
            <w:gridSpan w:val="6"/>
            <w:tcBorders>
              <w:top w:val="single" w:sz="12" w:space="0" w:color="000000"/>
              <w:left w:val="single" w:sz="12" w:space="0" w:color="000000"/>
              <w:bottom w:val="single" w:sz="4" w:space="0" w:color="000000"/>
              <w:right w:val="single" w:sz="12" w:space="0" w:color="000000"/>
            </w:tcBorders>
            <w:shd w:color="auto" w:fill="BFBFBF" w:val="clear"/>
          </w:tcPr>
          <w:p>
            <w:pPr>
              <w:pStyle w:val="Normal"/>
              <w:widowControl/>
              <w:suppressAutoHyphens w:val="true"/>
              <w:spacing w:lineRule="auto" w:line="240" w:before="0" w:after="0"/>
              <w:jc w:val="both"/>
              <w:rPr>
                <w:b/>
                <w:color w:themeColor="accent5" w:themeShade="bf" w:val="000000"/>
              </w:rPr>
            </w:pPr>
            <w:r>
              <w:rPr>
                <w:rFonts w:eastAsia="Calibri" w:cs="Calibri"/>
                <w:b/>
                <w:color w:themeColor="accent5" w:themeShade="bf" w:val="000000"/>
                <w:kern w:val="0"/>
                <w:sz w:val="22"/>
                <w:szCs w:val="22"/>
                <w:lang w:val="sr-RS" w:eastAsia="en-GB" w:bidi="ar-SA"/>
              </w:rPr>
              <w:t>Питање или жалба</w:t>
            </w:r>
          </w:p>
        </w:tc>
      </w:tr>
      <w:tr>
        <w:trPr/>
        <w:tc>
          <w:tcPr>
            <w:tcW w:w="9329" w:type="dxa"/>
            <w:gridSpan w:val="6"/>
            <w:tcBorders>
              <w:top w:val="single" w:sz="4" w:space="0" w:color="000000"/>
              <w:left w:val="single" w:sz="12" w:space="0" w:color="000000"/>
              <w:bottom w:val="single" w:sz="4" w:space="0" w:color="BFBFBF"/>
              <w:right w:val="single" w:sz="12"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Питање или опис жалбе (ово поље је обавезно попунити):</w:t>
            </w:r>
          </w:p>
        </w:tc>
      </w:tr>
      <w:tr>
        <w:trPr>
          <w:trHeight w:val="656" w:hRule="atLeast"/>
        </w:trPr>
        <w:tc>
          <w:tcPr>
            <w:tcW w:w="9329" w:type="dxa"/>
            <w:gridSpan w:val="6"/>
            <w:tcBorders>
              <w:top w:val="single" w:sz="4" w:space="0" w:color="BFBFBF"/>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A6A6A6"/>
                <w:kern w:val="0"/>
                <w:sz w:val="22"/>
                <w:szCs w:val="22"/>
                <w:lang w:val="sr-RS" w:eastAsia="en-GB" w:bidi="ar-SA"/>
              </w:rPr>
              <w:t>Овде опишите шта је разлог Ваше жалбе</w:t>
            </w:r>
          </w:p>
        </w:tc>
      </w:tr>
      <w:tr>
        <w:trPr/>
        <w:tc>
          <w:tcPr>
            <w:tcW w:w="9329" w:type="dxa"/>
            <w:gridSpan w:val="6"/>
            <w:tcBorders>
              <w:top w:val="single" w:sz="4" w:space="0" w:color="000000"/>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both"/>
              <w:rPr>
                <w:color w:val="000000"/>
                <w:sz w:val="16"/>
                <w:szCs w:val="16"/>
              </w:rPr>
            </w:pPr>
            <w:r>
              <w:rPr>
                <w:color w:val="000000"/>
                <w:sz w:val="16"/>
                <w:szCs w:val="16"/>
              </w:rPr>
            </w:r>
          </w:p>
        </w:tc>
      </w:tr>
      <w:tr>
        <w:trPr/>
        <w:tc>
          <w:tcPr>
            <w:tcW w:w="9329" w:type="dxa"/>
            <w:gridSpan w:val="6"/>
            <w:tcBorders>
              <w:top w:val="single" w:sz="4" w:space="0" w:color="000000"/>
              <w:left w:val="single" w:sz="12" w:space="0" w:color="000000"/>
              <w:bottom w:val="single" w:sz="4" w:space="0" w:color="BFBFBF"/>
              <w:right w:val="single" w:sz="12"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Уколико је питање или жалба везана за одређени конкретан догађај или инцидент, молимо Вас наведите место и датум где и када се то догодило, као и да ли се ради о поновљеном догађају или инциденту:</w:t>
            </w:r>
          </w:p>
        </w:tc>
      </w:tr>
      <w:tr>
        <w:trPr>
          <w:trHeight w:val="476" w:hRule="atLeast"/>
        </w:trPr>
        <w:tc>
          <w:tcPr>
            <w:tcW w:w="9329" w:type="dxa"/>
            <w:gridSpan w:val="6"/>
            <w:tcBorders>
              <w:top w:val="single" w:sz="4" w:space="0" w:color="BFBFBF"/>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опишите конкретан догађај, са више детаља</w:t>
            </w:r>
          </w:p>
          <w:p>
            <w:pPr>
              <w:pStyle w:val="Normal"/>
              <w:widowControl/>
              <w:suppressAutoHyphens w:val="true"/>
              <w:spacing w:lineRule="auto" w:line="240" w:before="0" w:after="0"/>
              <w:jc w:val="left"/>
              <w:rPr>
                <w:color w:themeColor="accent5" w:themeShade="bf" w:val="000000"/>
              </w:rPr>
            </w:pPr>
            <w:r>
              <w:rPr>
                <w:color w:themeColor="accent5" w:themeShade="bf" w:val="000000"/>
              </w:rPr>
            </w:r>
          </w:p>
          <w:p>
            <w:pPr>
              <w:pStyle w:val="Normal"/>
              <w:widowControl/>
              <w:suppressAutoHyphens w:val="true"/>
              <w:spacing w:lineRule="auto" w:line="240" w:before="0" w:after="0"/>
              <w:jc w:val="left"/>
              <w:rPr>
                <w:color w:themeColor="accent5" w:themeShade="bf" w:val="000000"/>
              </w:rPr>
            </w:pPr>
            <w:r>
              <w:rPr>
                <w:color w:themeColor="accent5" w:themeShade="bf" w:val="000000"/>
              </w:rPr>
            </w:r>
          </w:p>
          <w:p>
            <w:pPr>
              <w:pStyle w:val="Normal"/>
              <w:widowControl/>
              <w:suppressAutoHyphens w:val="true"/>
              <w:spacing w:lineRule="auto" w:line="240" w:before="0" w:after="0"/>
              <w:jc w:val="left"/>
              <w:rPr>
                <w:color w:themeColor="accent5" w:themeShade="bf" w:val="000000"/>
              </w:rPr>
            </w:pPr>
            <w:r>
              <w:rPr>
                <w:color w:themeColor="accent5" w:themeShade="bf" w:val="000000"/>
              </w:rPr>
            </w:r>
          </w:p>
        </w:tc>
      </w:tr>
      <w:tr>
        <w:trPr/>
        <w:tc>
          <w:tcPr>
            <w:tcW w:w="9329" w:type="dxa"/>
            <w:gridSpan w:val="6"/>
            <w:tcBorders>
              <w:top w:val="single" w:sz="4" w:space="0" w:color="000000"/>
              <w:left w:val="single" w:sz="12" w:space="0" w:color="000000"/>
              <w:bottom w:val="single" w:sz="4" w:space="0" w:color="000000"/>
              <w:right w:val="single" w:sz="12" w:space="0" w:color="000000"/>
            </w:tcBorders>
          </w:tcPr>
          <w:p>
            <w:pPr>
              <w:pStyle w:val="Normal"/>
              <w:widowControl/>
              <w:suppressAutoHyphens w:val="true"/>
              <w:spacing w:lineRule="auto" w:line="240" w:before="0" w:after="0"/>
              <w:jc w:val="both"/>
              <w:rPr>
                <w:color w:val="000000"/>
              </w:rPr>
            </w:pPr>
            <w:r>
              <w:rPr>
                <w:color w:val="000000"/>
              </w:rPr>
            </w:r>
          </w:p>
        </w:tc>
      </w:tr>
      <w:tr>
        <w:trPr/>
        <w:tc>
          <w:tcPr>
            <w:tcW w:w="9329" w:type="dxa"/>
            <w:gridSpan w:val="6"/>
            <w:tcBorders>
              <w:top w:val="single" w:sz="4" w:space="0" w:color="000000"/>
              <w:left w:val="single" w:sz="12" w:space="0" w:color="000000"/>
              <w:bottom w:val="single" w:sz="4" w:space="0" w:color="BFBFBF"/>
              <w:right w:val="single" w:sz="12" w:space="0" w:color="000000"/>
            </w:tcBorders>
          </w:tcPr>
          <w:p>
            <w:pPr>
              <w:pStyle w:val="Normal"/>
              <w:widowControl/>
              <w:suppressAutoHyphens w:val="true"/>
              <w:spacing w:lineRule="auto" w:line="240" w:before="0" w:after="0"/>
              <w:jc w:val="both"/>
              <w:rPr>
                <w:color w:themeColor="accent5" w:themeShade="bf" w:val="000000"/>
              </w:rPr>
            </w:pPr>
            <w:r>
              <w:rPr>
                <w:rFonts w:eastAsia="Calibri" w:cs="Calibri"/>
                <w:color w:themeColor="accent5" w:themeShade="bf" w:val="000000"/>
                <w:kern w:val="0"/>
                <w:sz w:val="22"/>
                <w:szCs w:val="22"/>
                <w:lang w:val="sr-RS" w:eastAsia="en-GB" w:bidi="ar-SA"/>
              </w:rPr>
              <w:t>Како видите решавање проблема (шта сматрате да би требало да се догоди да би се решио проблем)?</w:t>
            </w:r>
          </w:p>
        </w:tc>
      </w:tr>
      <w:tr>
        <w:trPr>
          <w:trHeight w:val="765" w:hRule="atLeast"/>
        </w:trPr>
        <w:tc>
          <w:tcPr>
            <w:tcW w:w="9329" w:type="dxa"/>
            <w:gridSpan w:val="6"/>
            <w:tcBorders>
              <w:top w:val="single" w:sz="4" w:space="0" w:color="BFBFBF"/>
              <w:left w:val="single" w:sz="12" w:space="0" w:color="000000"/>
              <w:bottom w:val="single" w:sz="12" w:space="0" w:color="000000"/>
              <w:right w:val="single" w:sz="12" w:space="0" w:color="000000"/>
            </w:tcBorders>
          </w:tcPr>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808080"/>
                <w:kern w:val="0"/>
                <w:sz w:val="22"/>
                <w:szCs w:val="22"/>
                <w:lang w:val="sr-RS" w:eastAsia="en-GB" w:bidi="ar-SA"/>
              </w:rPr>
              <w:t>Овде опишите</w:t>
            </w:r>
          </w:p>
        </w:tc>
      </w:tr>
      <w:tr>
        <w:trPr>
          <w:trHeight w:val="263" w:hRule="atLeast"/>
        </w:trPr>
        <w:tc>
          <w:tcPr>
            <w:tcW w:w="9329" w:type="dxa"/>
            <w:gridSpan w:val="6"/>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b/>
                <w:color w:themeColor="accent5" w:themeShade="bf" w:val="000000"/>
              </w:rPr>
            </w:pPr>
            <w:r>
              <w:rPr>
                <w:rFonts w:eastAsia="Calibri" w:cs="Calibri"/>
                <w:color w:themeColor="accent5" w:themeShade="bf" w:val="000000"/>
                <w:kern w:val="0"/>
                <w:sz w:val="22"/>
                <w:szCs w:val="22"/>
                <w:lang w:val="sr-RS" w:eastAsia="en-GB" w:bidi="ar-SA"/>
              </w:rPr>
              <w:t>Молимо да попуњен формилар вратите на следећу адресу:</w:t>
            </w:r>
          </w:p>
          <w:p>
            <w:pPr>
              <w:pStyle w:val="Normal"/>
              <w:widowControl/>
              <w:pBdr>
                <w:top w:val="single" w:sz="4" w:space="1" w:color="000000"/>
                <w:left w:val="single" w:sz="4" w:space="4" w:color="000000"/>
                <w:bottom w:val="single" w:sz="4" w:space="1" w:color="000000"/>
                <w:right w:val="single" w:sz="4" w:space="4" w:color="000000"/>
              </w:pBdr>
              <w:suppressAutoHyphens w:val="true"/>
              <w:spacing w:lineRule="auto" w:line="240" w:before="0" w:after="0"/>
              <w:jc w:val="left"/>
              <w:rPr>
                <w:b/>
                <w:color w:themeColor="accent1" w:themeShade="80" w:val="1F4E79"/>
              </w:rPr>
            </w:pPr>
            <w:r>
              <w:rPr>
                <w:rFonts w:eastAsia="Calibri" w:cs="Calibri"/>
                <w:b/>
                <w:color w:themeColor="accent1" w:themeShade="80" w:val="1F4E79"/>
                <w:kern w:val="0"/>
                <w:sz w:val="22"/>
                <w:szCs w:val="22"/>
                <w:lang w:val="sr-RS" w:eastAsia="en-GB" w:bidi="ar-SA"/>
              </w:rPr>
              <w:t>Јединица локалне самоуправе: Општина Димитровград</w:t>
            </w:r>
          </w:p>
          <w:p>
            <w:pPr>
              <w:pStyle w:val="Normal"/>
              <w:widowControl/>
              <w:pBdr>
                <w:top w:val="single" w:sz="4" w:space="1" w:color="000000"/>
                <w:left w:val="single" w:sz="4" w:space="4" w:color="000000"/>
                <w:bottom w:val="single" w:sz="4" w:space="1" w:color="000000"/>
                <w:right w:val="single" w:sz="4" w:space="4" w:color="000000"/>
              </w:pBdr>
              <w:suppressAutoHyphens w:val="true"/>
              <w:spacing w:lineRule="auto" w:line="240" w:before="0" w:after="0"/>
              <w:jc w:val="left"/>
              <w:rPr>
                <w:b/>
                <w:color w:themeColor="accent1" w:themeShade="80" w:val="1F4E79"/>
                <w:sz w:val="24"/>
                <w:szCs w:val="24"/>
                <w:u w:val="single"/>
              </w:rPr>
            </w:pPr>
            <w:r>
              <w:rPr>
                <w:rFonts w:eastAsia="Calibri" w:cs="Calibri"/>
                <w:b/>
                <w:color w:themeColor="accent1" w:themeShade="80" w:val="1F4E79"/>
                <w:kern w:val="0"/>
                <w:sz w:val="22"/>
                <w:szCs w:val="22"/>
                <w:u w:val="single"/>
                <w:lang w:val="sr-RS" w:eastAsia="en-GB" w:bidi="ar-SA"/>
              </w:rPr>
              <w:t xml:space="preserve">Служба </w:t>
            </w:r>
            <w:r>
              <w:rPr>
                <w:rFonts w:eastAsia="Calibri" w:cs="Calibri"/>
                <w:b/>
                <w:color w:themeColor="accent1" w:themeShade="80" w:val="1F4E79"/>
                <w:kern w:val="0"/>
                <w:sz w:val="24"/>
                <w:szCs w:val="24"/>
                <w:u w:val="single"/>
                <w:lang w:val="sr-RS" w:eastAsia="en-GB" w:bidi="ar-SA"/>
              </w:rPr>
              <w:t>за пријем жалби – Жалбена комисија</w:t>
            </w:r>
          </w:p>
          <w:p>
            <w:pPr>
              <w:pStyle w:val="Normal"/>
              <w:widowControl/>
              <w:pBdr>
                <w:top w:val="single" w:sz="4" w:space="1" w:color="000000"/>
                <w:left w:val="single" w:sz="4" w:space="4" w:color="000000"/>
                <w:bottom w:val="single" w:sz="4" w:space="1" w:color="000000"/>
                <w:right w:val="single" w:sz="4" w:space="4" w:color="000000"/>
              </w:pBdr>
              <w:suppressAutoHyphens w:val="true"/>
              <w:spacing w:lineRule="auto" w:line="240" w:before="0" w:after="0"/>
              <w:jc w:val="left"/>
              <w:rPr>
                <w:color w:themeColor="accent1" w:themeShade="80" w:val="1F4E79"/>
                <w:lang w:val="sr-Latn-RS"/>
              </w:rPr>
            </w:pPr>
            <w:r>
              <w:rPr>
                <w:rFonts w:eastAsia="Calibri" w:cs="Calibri"/>
                <w:b/>
                <w:color w:themeColor="accent1" w:themeShade="80" w:val="1F4E79"/>
                <w:kern w:val="0"/>
                <w:sz w:val="22"/>
                <w:szCs w:val="22"/>
                <w:lang w:val="sr-RS" w:eastAsia="en-GB" w:bidi="ar-SA"/>
              </w:rPr>
              <w:t xml:space="preserve">Адреса: </w:t>
            </w:r>
            <w:r>
              <w:rPr>
                <w:rFonts w:eastAsia="Calibri" w:cs="Calibri"/>
                <w:color w:themeColor="accent1" w:themeShade="80" w:val="2F5496"/>
                <w:kern w:val="0"/>
                <w:sz w:val="22"/>
                <w:szCs w:val="22"/>
                <w:lang w:val="en-US" w:eastAsia="en-GB" w:bidi="ar-SA"/>
              </w:rPr>
              <w:t>Балканска 2, 18320 Димитровград</w:t>
            </w:r>
          </w:p>
          <w:p>
            <w:pPr>
              <w:pStyle w:val="Normal"/>
              <w:widowControl/>
              <w:pBdr>
                <w:top w:val="single" w:sz="4" w:space="1" w:color="000000"/>
                <w:left w:val="single" w:sz="4" w:space="4" w:color="000000"/>
                <w:bottom w:val="single" w:sz="4" w:space="1" w:color="000000"/>
                <w:right w:val="single" w:sz="4" w:space="4" w:color="000000"/>
              </w:pBdr>
              <w:suppressAutoHyphens w:val="true"/>
              <w:spacing w:lineRule="auto" w:line="240" w:before="0" w:after="0"/>
              <w:jc w:val="left"/>
              <w:rPr>
                <w:b/>
                <w:color w:themeColor="accent1" w:themeShade="80" w:val="1F4E79"/>
              </w:rPr>
            </w:pPr>
            <w:r>
              <w:rPr>
                <w:rFonts w:eastAsia="Calibri" w:cs="Calibri"/>
                <w:b/>
                <w:color w:themeColor="accent1" w:themeShade="80" w:val="1F4E79"/>
                <w:kern w:val="0"/>
                <w:sz w:val="22"/>
                <w:szCs w:val="22"/>
                <w:lang w:val="sr-RS" w:eastAsia="en-GB" w:bidi="ar-SA"/>
              </w:rPr>
              <w:t>Е-пошта:</w:t>
            </w:r>
            <w:r>
              <w:rPr>
                <w:rFonts w:eastAsia="Calibri" w:cs="Calibri"/>
                <w:color w:themeColor="accent1" w:themeShade="80" w:val="2F5496"/>
                <w:kern w:val="0"/>
                <w:sz w:val="22"/>
                <w:szCs w:val="22"/>
                <w:lang w:val="en-US" w:eastAsia="en-GB" w:bidi="ar-SA"/>
              </w:rPr>
              <w:t xml:space="preserve"> </w:t>
            </w:r>
            <w:r>
              <w:rPr>
                <w:rFonts w:eastAsia="Calibri" w:cs="Calibri"/>
                <w:color w:themeColor="accent1" w:themeShade="80" w:val="2F5496"/>
                <w:kern w:val="0"/>
                <w:sz w:val="22"/>
                <w:szCs w:val="22"/>
                <w:lang w:val="en-GB" w:eastAsia="en-GB" w:bidi="ar-SA"/>
              </w:rPr>
              <w:t>nacelnik</w:t>
            </w:r>
            <w:r>
              <w:rPr>
                <w:rFonts w:eastAsia="Calibri" w:cs="Calibri"/>
                <w:color w:themeColor="accent1" w:themeShade="80" w:val="2F5496"/>
                <w:kern w:val="0"/>
                <w:sz w:val="22"/>
                <w:szCs w:val="22"/>
                <w:lang w:val="en-US" w:eastAsia="en-GB" w:bidi="ar-SA"/>
              </w:rPr>
              <w:t>@dimitrovgrad.rs</w:t>
            </w:r>
          </w:p>
          <w:p>
            <w:pPr>
              <w:pStyle w:val="Normal"/>
              <w:widowControl/>
              <w:pBdr>
                <w:top w:val="single" w:sz="4" w:space="1" w:color="000000"/>
                <w:left w:val="single" w:sz="4" w:space="4" w:color="000000"/>
                <w:bottom w:val="single" w:sz="4" w:space="1" w:color="000000"/>
                <w:right w:val="single" w:sz="4" w:space="4" w:color="000000"/>
              </w:pBdr>
              <w:suppressAutoHyphens w:val="true"/>
              <w:spacing w:lineRule="auto" w:line="240" w:before="0" w:after="0"/>
              <w:jc w:val="left"/>
              <w:rPr>
                <w:color w:themeColor="accent1" w:themeShade="80" w:val="1F4E79"/>
              </w:rPr>
            </w:pPr>
            <w:r>
              <w:rPr>
                <w:rFonts w:eastAsia="Calibri" w:cs="Calibri"/>
                <w:b/>
                <w:color w:themeColor="accent1" w:themeShade="80" w:val="1F4E79"/>
                <w:kern w:val="0"/>
                <w:sz w:val="22"/>
                <w:szCs w:val="22"/>
                <w:lang w:val="sr-RS" w:eastAsia="en-GB" w:bidi="ar-SA"/>
              </w:rPr>
              <w:t>Број телефона:</w:t>
            </w:r>
            <w:r>
              <w:rPr>
                <w:rFonts w:eastAsia="Calibri" w:cs="Calibri"/>
                <w:color w:themeColor="accent1" w:themeShade="80" w:val="1F4E79"/>
                <w:kern w:val="0"/>
                <w:sz w:val="22"/>
                <w:szCs w:val="22"/>
                <w:lang w:val="sr-RS" w:eastAsia="en-GB" w:bidi="ar-SA"/>
              </w:rPr>
              <w:t xml:space="preserve"> </w:t>
            </w:r>
            <w:r>
              <w:rPr>
                <w:rFonts w:eastAsia="Calibri" w:cs="Calibri"/>
                <w:color w:themeColor="accent1" w:themeShade="80" w:val="2F5496"/>
                <w:kern w:val="0"/>
                <w:sz w:val="22"/>
                <w:szCs w:val="22"/>
                <w:lang w:val="en-US" w:eastAsia="en-GB" w:bidi="ar-SA"/>
              </w:rPr>
              <w:t>+381 10 361 108</w:t>
            </w:r>
          </w:p>
        </w:tc>
      </w:tr>
      <w:tr>
        <w:trPr>
          <w:trHeight w:val="5498" w:hRule="atLeast"/>
        </w:trPr>
        <w:tc>
          <w:tcPr>
            <w:tcW w:w="9329" w:type="dxa"/>
            <w:gridSpan w:val="6"/>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 xml:space="preserve">Уколико у року од </w:t>
            </w:r>
            <w:r>
              <w:rPr>
                <w:rFonts w:eastAsia="Calibri" w:cs="Calibri"/>
                <w:b/>
                <w:color w:val="2F5496"/>
                <w:kern w:val="0"/>
                <w:sz w:val="22"/>
                <w:szCs w:val="22"/>
                <w:lang w:val="sr-RS" w:eastAsia="en-GB" w:bidi="ar-SA"/>
              </w:rPr>
              <w:t>7 радних дана</w:t>
            </w:r>
            <w:r>
              <w:rPr>
                <w:rFonts w:eastAsia="Calibri" w:cs="Calibri"/>
                <w:color w:val="2F5496"/>
                <w:kern w:val="0"/>
                <w:sz w:val="22"/>
                <w:szCs w:val="22"/>
                <w:lang w:val="sr-RS" w:eastAsia="en-GB" w:bidi="ar-SA"/>
              </w:rPr>
              <w:t xml:space="preserve"> не добијете потврду пријема Ваше жалбе, питања, а у року од </w:t>
            </w:r>
            <w:r>
              <w:rPr>
                <w:rFonts w:eastAsia="Calibri" w:cs="Calibri"/>
                <w:b/>
                <w:color w:val="2F5496"/>
                <w:kern w:val="0"/>
                <w:sz w:val="22"/>
                <w:szCs w:val="22"/>
                <w:lang w:val="sr-RS" w:eastAsia="en-GB" w:bidi="ar-SA"/>
              </w:rPr>
              <w:t>30 календарских дана</w:t>
            </w:r>
            <w:r>
              <w:rPr>
                <w:rFonts w:eastAsia="Calibri" w:cs="Calibri"/>
                <w:color w:val="2F5496"/>
                <w:kern w:val="0"/>
                <w:sz w:val="22"/>
                <w:szCs w:val="22"/>
                <w:lang w:val="sr-RS" w:eastAsia="en-GB" w:bidi="ar-SA"/>
              </w:rPr>
              <w:t xml:space="preserve"> од датума пријема не добијете одговор на ваше питање, коментар или жалбу, контактирајте менаџера за жалбе: </w:t>
            </w:r>
            <w:r>
              <w:rPr>
                <w:rFonts w:eastAsia="Calibri" w:cs="Calibri"/>
                <w:b/>
                <w:color w:val="2F5496"/>
                <w:kern w:val="0"/>
                <w:sz w:val="22"/>
                <w:szCs w:val="22"/>
                <w:lang w:val="sr-RS" w:eastAsia="en-GB" w:bidi="ar-SA"/>
              </w:rPr>
              <w:t>Централни менаџер за жалбе</w:t>
            </w:r>
            <w:r>
              <w:rPr>
                <w:rFonts w:eastAsia="Calibri" w:cs="Calibri"/>
                <w:color w:val="2F5496"/>
                <w:kern w:val="0"/>
                <w:sz w:val="22"/>
                <w:szCs w:val="22"/>
                <w:lang w:val="sr-RS" w:eastAsia="en-GB" w:bidi="ar-SA"/>
              </w:rPr>
              <w:t>, стручњак за социјална питања и сарадњу са грађанима</w:t>
            </w:r>
          </w:p>
          <w:p>
            <w:pPr>
              <w:pStyle w:val="Normal"/>
              <w:widowControl/>
              <w:suppressAutoHyphens w:val="true"/>
              <w:spacing w:lineRule="auto" w:line="240" w:before="120" w:after="0"/>
              <w:jc w:val="left"/>
              <w:rPr>
                <w:b/>
              </w:rPr>
            </w:pPr>
            <w:r>
              <w:rPr>
                <w:rFonts w:eastAsia="Calibri" w:cs="Calibri"/>
                <w:b/>
                <w:color w:val="2F5496"/>
                <w:kern w:val="0"/>
                <w:sz w:val="22"/>
                <w:szCs w:val="22"/>
                <w:lang w:val="sr-RS" w:eastAsia="en-GB" w:bidi="ar-SA"/>
              </w:rPr>
              <w:t>Е-ПОШТОМ:</w:t>
            </w:r>
          </w:p>
          <w:p>
            <w:pPr>
              <w:pStyle w:val="Normal"/>
              <w:widowControl/>
              <w:suppressAutoHyphens w:val="true"/>
              <w:spacing w:lineRule="auto" w:line="240" w:before="120" w:after="0"/>
              <w:jc w:val="left"/>
              <w:rPr>
                <w:rFonts w:ascii="Calibri" w:hAnsi="Calibri" w:eastAsia="Calibri" w:cs="Calibri"/>
                <w:color w:val="2F5496"/>
                <w:kern w:val="0"/>
                <w:sz w:val="22"/>
                <w:szCs w:val="22"/>
                <w:lang w:val="sr-RS" w:eastAsia="en-GB" w:bidi="ar-SA"/>
              </w:rPr>
            </w:pPr>
            <w:hyperlink r:id="rId36">
              <w:r>
                <w:rPr>
                  <w:rStyle w:val="Hyperlink"/>
                  <w:rFonts w:eastAsia="Calibri" w:cs="Calibri"/>
                  <w:kern w:val="0"/>
                  <w:sz w:val="22"/>
                  <w:szCs w:val="22"/>
                  <w:lang w:val="sr-RS" w:eastAsia="en-GB" w:bidi="ar-SA"/>
                </w:rPr>
                <w:t>liid.</w:t>
              </w:r>
              <w:r>
                <w:rPr>
                  <w:rStyle w:val="Hyperlink"/>
                  <w:rFonts w:eastAsia="Calibri" w:cs="Calibri"/>
                  <w:kern w:val="0"/>
                  <w:sz w:val="22"/>
                  <w:szCs w:val="22"/>
                  <w:lang w:val="sr-Latn-RS" w:eastAsia="en-GB" w:bidi="ar-SA"/>
                </w:rPr>
                <w:t>zalbe@mgsi.gov.rs</w:t>
              </w:r>
            </w:hyperlink>
          </w:p>
          <w:p>
            <w:pPr>
              <w:pStyle w:val="Normal"/>
              <w:widowControl/>
              <w:suppressAutoHyphens w:val="true"/>
              <w:spacing w:lineRule="auto" w:line="240" w:before="0" w:after="0"/>
              <w:jc w:val="left"/>
              <w:rPr>
                <w:b/>
              </w:rPr>
            </w:pPr>
            <w:r>
              <w:rPr>
                <w:b/>
              </w:rPr>
            </w:r>
          </w:p>
          <w:p>
            <w:pPr>
              <w:pStyle w:val="Normal"/>
              <w:widowControl/>
              <w:suppressAutoHyphens w:val="true"/>
              <w:spacing w:lineRule="auto" w:line="240" w:before="0" w:after="0"/>
              <w:jc w:val="left"/>
              <w:rPr>
                <w:b/>
              </w:rPr>
            </w:pPr>
            <w:r>
              <w:rPr>
                <w:rFonts w:eastAsia="Calibri" w:cs="Calibri"/>
                <w:b/>
                <w:color w:val="2F5496"/>
                <w:kern w:val="0"/>
                <w:sz w:val="22"/>
                <w:szCs w:val="22"/>
                <w:lang w:val="sr-RS" w:eastAsia="en-GB" w:bidi="ar-SA"/>
              </w:rPr>
              <w:t>ПОШТОМ:</w:t>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b/>
                <w:color w:val="2F5496"/>
                <w:kern w:val="0"/>
                <w:sz w:val="22"/>
                <w:szCs w:val="22"/>
                <w:lang w:val="sr-RS" w:eastAsia="en-GB" w:bidi="ar-SA"/>
              </w:rPr>
              <w:t>Министарство грађевинарства, саобраћаја и инфраструктуре</w:t>
            </w:r>
          </w:p>
          <w:p>
            <w:pPr>
              <w:pStyle w:val="Normal"/>
              <w:widowControl/>
              <w:suppressAutoHyphens w:val="true"/>
              <w:spacing w:lineRule="auto" w:line="240" w:before="0" w:after="0"/>
              <w:jc w:val="left"/>
              <w:rPr>
                <w:b/>
                <w:i/>
                <w:i/>
              </w:rPr>
            </w:pPr>
            <w:r>
              <w:rPr>
                <w:rFonts w:eastAsia="Calibri" w:cs="Calibri"/>
                <w:b/>
                <w:color w:val="2F5496"/>
                <w:kern w:val="0"/>
                <w:sz w:val="22"/>
                <w:szCs w:val="22"/>
                <w:u w:val="single"/>
                <w:lang w:val="sr-RS" w:eastAsia="en-GB" w:bidi="ar-SA"/>
              </w:rPr>
              <w:t>Пројекат развоја локалне инфраструктуре и институционалног развоја</w:t>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 xml:space="preserve">Менаџер за жалбе: </w:t>
            </w:r>
            <w:r>
              <w:rPr>
                <w:rFonts w:eastAsia="Calibri" w:cs="Calibri"/>
                <w:b/>
                <w:color w:val="2F5496"/>
                <w:kern w:val="0"/>
                <w:sz w:val="22"/>
                <w:szCs w:val="22"/>
                <w:lang w:val="sr-RS" w:eastAsia="en-GB" w:bidi="ar-SA"/>
              </w:rPr>
              <w:t xml:space="preserve">Централни менаџер за жалбе, </w:t>
            </w:r>
            <w:r>
              <w:rPr>
                <w:rFonts w:eastAsia="Calibri" w:cs="Calibri"/>
                <w:color w:val="2F5496"/>
                <w:kern w:val="0"/>
                <w:sz w:val="22"/>
                <w:szCs w:val="22"/>
                <w:lang w:val="sr-RS" w:eastAsia="en-GB" w:bidi="ar-SA"/>
              </w:rPr>
              <w:t>стручњак за социјална питања и сарадњу са грађанима</w:t>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Узун Миркова 3,</w:t>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11000 Београд, Србија</w:t>
            </w:r>
          </w:p>
          <w:p>
            <w:pPr>
              <w:pStyle w:val="Normal"/>
              <w:widowControl/>
              <w:suppressAutoHyphens w:val="true"/>
              <w:spacing w:lineRule="auto" w:line="240" w:before="0" w:after="0"/>
              <w:ind w:hanging="1440" w:left="1440"/>
              <w:jc w:val="left"/>
              <w:rPr>
                <w:b/>
              </w:rPr>
            </w:pPr>
            <w:r>
              <w:rPr>
                <w:rFonts w:eastAsia="Calibri" w:cs="Calibri"/>
                <w:b/>
                <w:color w:val="2F5496"/>
                <w:kern w:val="0"/>
                <w:sz w:val="22"/>
                <w:szCs w:val="22"/>
                <w:lang w:val="sr-RS" w:eastAsia="en-GB" w:bidi="ar-SA"/>
              </w:rPr>
              <w:t>ТЕЛЕФОНОМ:</w:t>
            </w:r>
          </w:p>
          <w:p>
            <w:pPr>
              <w:pStyle w:val="Normal"/>
              <w:widowControl/>
              <w:suppressAutoHyphens w:val="true"/>
              <w:spacing w:lineRule="auto" w:line="240" w:before="0" w:after="0"/>
              <w:jc w:val="left"/>
              <w:rPr>
                <w:b/>
              </w:rPr>
            </w:pPr>
            <w:r>
              <w:rPr>
                <w:rFonts w:eastAsia="Calibri" w:cs="Calibri"/>
                <w:b/>
                <w:color w:val="2F5496"/>
                <w:kern w:val="0"/>
                <w:sz w:val="22"/>
                <w:szCs w:val="22"/>
                <w:lang w:val="sr-RS" w:eastAsia="en-GB" w:bidi="ar-SA"/>
              </w:rPr>
              <w:t>+381 65 250 09 20 (радним данима од 10 до 13)</w:t>
            </w:r>
          </w:p>
          <w:p>
            <w:pPr>
              <w:pStyle w:val="Normal"/>
              <w:widowControl/>
              <w:suppressAutoHyphens w:val="true"/>
              <w:spacing w:lineRule="auto" w:line="240" w:before="0" w:after="0"/>
              <w:ind w:hanging="1440" w:left="1440"/>
              <w:jc w:val="left"/>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(Радним даном од 10 до 13 часова)</w:t>
            </w:r>
          </w:p>
          <w:p>
            <w:pPr>
              <w:pStyle w:val="Normal"/>
              <w:widowControl/>
              <w:suppressAutoHyphens w:val="true"/>
              <w:spacing w:lineRule="auto" w:line="240" w:before="0" w:after="0"/>
              <w:jc w:val="both"/>
              <w:rPr>
                <w:rFonts w:ascii="Calibri" w:hAnsi="Calibri" w:eastAsia="Calibri" w:cs="Calibri"/>
                <w:color w:val="2F5496"/>
                <w:kern w:val="0"/>
                <w:sz w:val="22"/>
                <w:szCs w:val="22"/>
                <w:lang w:val="sr-RS" w:eastAsia="en-GB" w:bidi="ar-SA"/>
              </w:rPr>
            </w:pPr>
            <w:r>
              <w:rPr>
                <w:rFonts w:eastAsia="Calibri" w:cs="Calibri"/>
                <w:color w:val="2F5496"/>
                <w:kern w:val="0"/>
                <w:sz w:val="22"/>
                <w:szCs w:val="22"/>
                <w:lang w:val="sr-RS" w:eastAsia="en-GB" w:bidi="ar-SA"/>
              </w:rPr>
              <w:t>Напомињемо да можемо да одговоримо само на питања или коментаре који се односе директно на овај Пројекат, не и на питања која се односе на општи рад Министарства или других институција која су обухваћене Пројектом.</w:t>
            </w:r>
          </w:p>
          <w:p>
            <w:pPr>
              <w:pStyle w:val="Normal"/>
              <w:widowControl/>
              <w:suppressAutoHyphens w:val="true"/>
              <w:spacing w:lineRule="auto" w:line="240" w:before="0" w:after="0"/>
              <w:jc w:val="left"/>
              <w:rPr>
                <w:color w:themeColor="accent5" w:themeShade="bf" w:val="000000"/>
              </w:rPr>
            </w:pPr>
            <w:r>
              <w:rPr>
                <w:rFonts w:eastAsia="Calibri" w:cs="Calibri"/>
                <w:color w:themeColor="accent5" w:themeShade="bf" w:val="000000"/>
                <w:kern w:val="0"/>
                <w:sz w:val="22"/>
                <w:szCs w:val="22"/>
                <w:lang w:val="sr-RS" w:eastAsia="en-GB" w:bidi="ar-SA"/>
              </w:rPr>
              <w:t xml:space="preserve">За више детаља, молимо прочитајте Жалбени механизам пројекта (LIID) у Републици Србији доступан на: </w:t>
            </w:r>
            <w:r>
              <w:rPr>
                <w:rFonts w:eastAsia="Calibri" w:cs="Calibri"/>
                <w:color w:themeColor="accent5" w:themeShade="bf" w:val="000000"/>
                <w:kern w:val="0"/>
                <w:sz w:val="24"/>
                <w:szCs w:val="24"/>
                <w:lang w:val="sr-RS" w:eastAsia="en-GB" w:bidi="ar-SA"/>
              </w:rPr>
              <w:t>(</w:t>
            </w:r>
            <w:r>
              <w:rPr>
                <w:rFonts w:eastAsia="Calibri" w:cs="Calibri"/>
                <w:color w:themeColor="accent5" w:themeShade="bf" w:val="0000FF"/>
                <w:kern w:val="0"/>
                <w:sz w:val="24"/>
                <w:szCs w:val="24"/>
                <w:u w:val="single"/>
                <w:lang w:val="sr-RS" w:eastAsia="en-GB" w:bidi="ar-SA"/>
              </w:rPr>
              <w:t>https://www.mgsi.gov.rs/</w:t>
            </w:r>
            <w:r>
              <w:rPr>
                <w:rFonts w:eastAsia="Calibri" w:cs="Calibri"/>
                <w:color w:themeColor="accent5" w:themeShade="bf" w:val="000000"/>
                <w:kern w:val="0"/>
                <w:sz w:val="24"/>
                <w:szCs w:val="24"/>
                <w:lang w:val="sr-RS" w:eastAsia="en-GB" w:bidi="ar-SA"/>
              </w:rPr>
              <w:t>)</w:t>
            </w:r>
          </w:p>
        </w:tc>
      </w:tr>
    </w:tbl>
    <w:p>
      <w:pPr>
        <w:sectPr>
          <w:headerReference w:type="even" r:id="rId37"/>
          <w:headerReference w:type="default" r:id="rId38"/>
          <w:headerReference w:type="first" r:id="rId39"/>
          <w:footerReference w:type="even" r:id="rId40"/>
          <w:footerReference w:type="default" r:id="rId41"/>
          <w:footerReference w:type="first" r:id="rId42"/>
          <w:type w:val="nextPage"/>
          <w:pgSz w:w="12240" w:h="15840"/>
          <w:pgMar w:left="1440" w:right="1440" w:gutter="0" w:header="720" w:top="1080" w:footer="720" w:bottom="1080"/>
          <w:pgNumType w:fmt="decimal"/>
          <w:formProt w:val="false"/>
          <w:textDirection w:val="lrTb"/>
          <w:docGrid w:type="default" w:linePitch="100" w:charSpace="0"/>
        </w:sectPr>
        <w:pStyle w:val="Normal"/>
        <w:spacing w:before="0" w:after="160"/>
        <w:rPr/>
      </w:pPr>
      <w:r>
        <w:rPr/>
      </w:r>
    </w:p>
    <w:p>
      <w:pPr>
        <w:pStyle w:val="Normal"/>
        <w:rPr>
          <w:sz w:val="16"/>
          <w:szCs w:val="16"/>
        </w:rPr>
      </w:pPr>
      <w:r>
        <w:rPr>
          <w:sz w:val="16"/>
          <w:szCs w:val="16"/>
        </w:rPr>
      </w:r>
      <w:bookmarkStart w:id="9" w:name="_heading=h.35nkun2"/>
      <w:bookmarkStart w:id="10" w:name="_heading=h.35nkun2"/>
      <w:bookmarkEnd w:id="10"/>
    </w:p>
    <w:p>
      <w:pPr>
        <w:pStyle w:val="Heading1"/>
        <w:numPr>
          <w:ilvl w:val="0"/>
          <w:numId w:val="1"/>
        </w:numPr>
        <w:spacing w:before="280" w:after="280"/>
        <w:rPr/>
      </w:pPr>
      <w:bookmarkStart w:id="11" w:name="_Toc210082074"/>
      <w:r>
        <w:rPr/>
        <w:t>Прилог 02 – Евиденција решавања жалби на локалном нивоу</w:t>
      </w:r>
      <w:bookmarkEnd w:id="11"/>
    </w:p>
    <w:tbl>
      <w:tblPr>
        <w:tblStyle w:val="3"/>
        <w:tblW w:w="13001" w:type="dxa"/>
        <w:jc w:val="left"/>
        <w:tblInd w:w="0" w:type="dxa"/>
        <w:tblLayout w:type="fixed"/>
        <w:tblCellMar>
          <w:top w:w="0" w:type="dxa"/>
          <w:left w:w="108" w:type="dxa"/>
          <w:bottom w:w="0" w:type="dxa"/>
          <w:right w:w="108" w:type="dxa"/>
        </w:tblCellMar>
        <w:tblLook w:firstRow="0" w:noVBand="1" w:lastRow="0" w:firstColumn="0" w:lastColumn="0" w:noHBand="0" w:val="0400"/>
      </w:tblPr>
      <w:tblGrid>
        <w:gridCol w:w="990"/>
        <w:gridCol w:w="995"/>
        <w:gridCol w:w="993"/>
        <w:gridCol w:w="992"/>
        <w:gridCol w:w="993"/>
        <w:gridCol w:w="994"/>
        <w:gridCol w:w="1266"/>
        <w:gridCol w:w="850"/>
        <w:gridCol w:w="862"/>
        <w:gridCol w:w="993"/>
        <w:gridCol w:w="995"/>
        <w:gridCol w:w="992"/>
        <w:gridCol w:w="1085"/>
      </w:tblGrid>
      <w:tr>
        <w:trPr>
          <w:trHeight w:val="381" w:hRule="atLeast"/>
        </w:trPr>
        <w:tc>
          <w:tcPr>
            <w:tcW w:w="13000" w:type="dxa"/>
            <w:gridSpan w:val="13"/>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b/>
                <w:sz w:val="18"/>
                <w:szCs w:val="18"/>
              </w:rPr>
            </w:pPr>
            <w:r>
              <w:rPr>
                <w:rFonts w:eastAsia="Calibri" w:cs="Calibri"/>
                <w:b/>
                <w:color w:val="2F5496"/>
                <w:kern w:val="0"/>
                <w:sz w:val="18"/>
                <w:szCs w:val="18"/>
                <w:lang w:val="sr-RS" w:eastAsia="en-GB" w:bidi="ar-SA"/>
              </w:rPr>
              <w:t>Јединица локалне самоуправе : ________________________</w:t>
            </w:r>
          </w:p>
          <w:p>
            <w:pPr>
              <w:pStyle w:val="Normal"/>
              <w:widowControl/>
              <w:suppressAutoHyphens w:val="true"/>
              <w:spacing w:lineRule="auto" w:line="240" w:before="0" w:after="0"/>
              <w:jc w:val="left"/>
              <w:rPr>
                <w:b/>
                <w:sz w:val="18"/>
                <w:szCs w:val="18"/>
              </w:rPr>
            </w:pPr>
            <w:r>
              <w:rPr>
                <w:rFonts w:eastAsia="Calibri" w:cs="Calibri"/>
                <w:b/>
                <w:color w:val="2F5496"/>
                <w:kern w:val="0"/>
                <w:sz w:val="18"/>
                <w:szCs w:val="18"/>
                <w:lang w:val="sr-RS" w:eastAsia="en-GB" w:bidi="ar-SA"/>
              </w:rPr>
              <w:t>Локални менаџер за жалбе:_______________________</w:t>
            </w:r>
          </w:p>
        </w:tc>
      </w:tr>
      <w:tr>
        <w:trPr>
          <w:trHeight w:val="2447"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Редни број</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Тип</w:t>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ind w:hanging="6" w:left="-31" w:right="-90"/>
              <w:jc w:val="left"/>
              <w:rPr>
                <w:sz w:val="18"/>
                <w:szCs w:val="18"/>
              </w:rPr>
            </w:pPr>
            <w:r>
              <w:rPr>
                <w:rFonts w:eastAsia="Calibri" w:cs="Calibri"/>
                <w:color w:val="2F5496"/>
                <w:kern w:val="0"/>
                <w:sz w:val="18"/>
                <w:szCs w:val="18"/>
                <w:lang w:val="sr-RS" w:eastAsia="en-GB" w:bidi="ar-SA"/>
              </w:rPr>
              <w:t>Приоритет</w:t>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Датум пријема жалбе</w:t>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ind w:left="-49" w:right="-72"/>
              <w:jc w:val="left"/>
              <w:rPr>
                <w:sz w:val="18"/>
                <w:szCs w:val="18"/>
              </w:rPr>
            </w:pPr>
            <w:r>
              <w:rPr>
                <w:rFonts w:eastAsia="Calibri" w:cs="Calibri"/>
                <w:color w:val="2F5496"/>
                <w:kern w:val="0"/>
                <w:sz w:val="18"/>
                <w:szCs w:val="18"/>
                <w:lang w:val="sr-RS" w:eastAsia="en-GB" w:bidi="ar-SA"/>
              </w:rPr>
              <w:t>Датум примљене повратне информације</w:t>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Начин пријема повратне информације</w:t>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Категорија повратне информације</w:t>
            </w:r>
          </w:p>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(Брзина давања повратне информације а)одмах</w:t>
            </w:r>
          </w:p>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б)после рока од 7 дана)</w:t>
            </w:r>
          </w:p>
          <w:p>
            <w:pPr>
              <w:pStyle w:val="Normal"/>
              <w:widowControl/>
              <w:suppressAutoHyphens w:val="true"/>
              <w:spacing w:lineRule="auto" w:line="240" w:before="0" w:after="0"/>
              <w:ind w:hanging="759"/>
              <w:jc w:val="left"/>
              <w:rPr>
                <w:sz w:val="18"/>
                <w:szCs w:val="18"/>
              </w:rPr>
            </w:pPr>
            <w:r>
              <w:rPr>
                <w:rFonts w:eastAsia="Calibri" w:cs="Calibri"/>
                <w:color w:val="2F5496"/>
                <w:kern w:val="0"/>
                <w:sz w:val="18"/>
                <w:szCs w:val="18"/>
                <w:lang w:val="sr-RS" w:eastAsia="en-GB" w:bidi="ar-SA"/>
              </w:rPr>
              <w:t>Ц</w:t>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Кратак опис</w:t>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ind w:right="-50"/>
              <w:jc w:val="left"/>
              <w:rPr>
                <w:sz w:val="18"/>
                <w:szCs w:val="18"/>
              </w:rPr>
            </w:pPr>
            <w:r>
              <w:rPr>
                <w:rFonts w:eastAsia="Calibri" w:cs="Calibri"/>
                <w:color w:val="2F5496"/>
                <w:kern w:val="0"/>
                <w:sz w:val="18"/>
                <w:szCs w:val="18"/>
                <w:lang w:val="sr-RS" w:eastAsia="en-GB" w:bidi="ar-SA"/>
              </w:rPr>
              <w:t>Анонимно (да/не)</w:t>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ind w:left="-80"/>
              <w:jc w:val="left"/>
              <w:rPr>
                <w:sz w:val="18"/>
                <w:szCs w:val="18"/>
              </w:rPr>
            </w:pPr>
            <w:r>
              <w:rPr>
                <w:rFonts w:eastAsia="Calibri" w:cs="Calibri"/>
                <w:color w:val="2F5496"/>
                <w:kern w:val="0"/>
                <w:sz w:val="18"/>
                <w:szCs w:val="18"/>
                <w:lang w:val="sr-RS" w:eastAsia="en-GB" w:bidi="ar-SA"/>
              </w:rPr>
              <w:t>Особа додељена за адресирање повратних информација</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Статус (решено, на чекању, у другом степену)</w:t>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ind w:left="-85" w:right="-36"/>
              <w:jc w:val="left"/>
              <w:rPr>
                <w:sz w:val="18"/>
                <w:szCs w:val="18"/>
              </w:rPr>
            </w:pPr>
            <w:r>
              <w:rPr>
                <w:rFonts w:eastAsia="Calibri" w:cs="Calibri"/>
                <w:color w:val="2F5496"/>
                <w:kern w:val="0"/>
                <w:sz w:val="18"/>
                <w:szCs w:val="18"/>
                <w:lang w:val="sr-RS" w:eastAsia="en-GB" w:bidi="ar-SA"/>
              </w:rPr>
              <w:t>Датум слања одговора решавања повратних информација</w:t>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Опис Комуникације у решавању</w:t>
            </w:r>
          </w:p>
        </w:tc>
      </w:tr>
      <w:tr>
        <w:trPr>
          <w:trHeight w:val="196"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1.</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185"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2.</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185"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3.</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185"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4.</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196" w:hRule="atLeast"/>
        </w:trPr>
        <w:tc>
          <w:tcPr>
            <w:tcW w:w="9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5.</w:t>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4"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6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6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3"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08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bl>
    <w:p>
      <w:pPr>
        <w:pStyle w:val="Heading1"/>
        <w:numPr>
          <w:ilvl w:val="0"/>
          <w:numId w:val="1"/>
        </w:numPr>
        <w:spacing w:before="280" w:after="280"/>
        <w:rPr/>
      </w:pPr>
      <w:bookmarkStart w:id="12" w:name="_Toc210082075"/>
      <w:r>
        <w:rPr/>
        <w:t>Евиденција решавања жалби на централном нивоу</w:t>
      </w:r>
      <w:bookmarkEnd w:id="12"/>
    </w:p>
    <w:tbl>
      <w:tblPr>
        <w:tblStyle w:val="2"/>
        <w:tblW w:w="12973" w:type="dxa"/>
        <w:jc w:val="left"/>
        <w:tblInd w:w="0" w:type="dxa"/>
        <w:tblLayout w:type="fixed"/>
        <w:tblCellMar>
          <w:top w:w="0" w:type="dxa"/>
          <w:left w:w="108" w:type="dxa"/>
          <w:bottom w:w="0" w:type="dxa"/>
          <w:right w:w="108" w:type="dxa"/>
        </w:tblCellMar>
        <w:tblLook w:firstRow="0" w:noVBand="1" w:lastRow="0" w:firstColumn="0" w:lastColumn="0" w:noHBand="0" w:val="0400"/>
      </w:tblPr>
      <w:tblGrid>
        <w:gridCol w:w="810"/>
        <w:gridCol w:w="811"/>
        <w:gridCol w:w="810"/>
        <w:gridCol w:w="812"/>
        <w:gridCol w:w="811"/>
        <w:gridCol w:w="809"/>
        <w:gridCol w:w="812"/>
        <w:gridCol w:w="812"/>
        <w:gridCol w:w="810"/>
        <w:gridCol w:w="811"/>
        <w:gridCol w:w="810"/>
        <w:gridCol w:w="811"/>
        <w:gridCol w:w="812"/>
        <w:gridCol w:w="812"/>
        <w:gridCol w:w="811"/>
        <w:gridCol w:w="806"/>
      </w:tblGrid>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Редни број</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Општина</w:t>
            </w:r>
          </w:p>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/град</w:t>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Локални менаџер за жалбе, контакт</w:t>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Редни број са локала</w:t>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Тип</w:t>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Приоритет</w:t>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Датум пријема жалбе</w:t>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Датум примљене повратне информације</w:t>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Начин пријема повратне информације</w:t>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Категорија повратне информације</w:t>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Кратак опис</w:t>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Анонимно (да/не)</w:t>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Особа додељена за адресирање повратних информација</w:t>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Статус (решено, на чекању,у другом степену))</w:t>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Датум слања одговора решавања повратних информација</w:t>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Опис Комуникације у решавању</w:t>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1</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2</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3</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4</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5</w:t>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2"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1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80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bl>
    <w:p>
      <w:pPr>
        <w:pStyle w:val="Normal"/>
        <w:rPr/>
      </w:pPr>
      <w:r>
        <w:rPr/>
      </w:r>
    </w:p>
    <w:p>
      <w:pPr>
        <w:pStyle w:val="Normal"/>
        <w:rPr/>
      </w:pPr>
      <w:r>
        <w:rPr/>
      </w:r>
    </w:p>
    <w:p>
      <w:pPr>
        <w:pStyle w:val="Heading1"/>
        <w:numPr>
          <w:ilvl w:val="0"/>
          <w:numId w:val="1"/>
        </w:numPr>
        <w:spacing w:before="280" w:after="280"/>
        <w:rPr/>
      </w:pPr>
      <w:bookmarkStart w:id="13" w:name="_Toc210082076"/>
      <w:r>
        <w:rPr/>
        <w:t>Прилог 03 –Интерни регистар укључивања заинтересованих страна</w:t>
      </w:r>
      <w:bookmarkEnd w:id="13"/>
    </w:p>
    <w:tbl>
      <w:tblPr>
        <w:tblStyle w:val="1"/>
        <w:tblW w:w="13514" w:type="dxa"/>
        <w:jc w:val="left"/>
        <w:tblInd w:w="-5" w:type="dxa"/>
        <w:tblLayout w:type="fixed"/>
        <w:tblCellMar>
          <w:top w:w="0" w:type="dxa"/>
          <w:left w:w="108" w:type="dxa"/>
          <w:bottom w:w="0" w:type="dxa"/>
          <w:right w:w="108" w:type="dxa"/>
        </w:tblCellMar>
        <w:tblLook w:firstRow="0" w:noVBand="1" w:lastRow="0" w:firstColumn="0" w:lastColumn="0" w:noHBand="0" w:val="0400"/>
      </w:tblPr>
      <w:tblGrid>
        <w:gridCol w:w="690"/>
        <w:gridCol w:w="1242"/>
        <w:gridCol w:w="1578"/>
        <w:gridCol w:w="1445"/>
        <w:gridCol w:w="1350"/>
        <w:gridCol w:w="1226"/>
        <w:gridCol w:w="2101"/>
        <w:gridCol w:w="1676"/>
        <w:gridCol w:w="1205"/>
        <w:gridCol w:w="999"/>
      </w:tblGrid>
      <w:tr>
        <w:trPr>
          <w:trHeight w:val="807"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Редни број</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Општина/Град</w:t>
            </w:r>
          </w:p>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Димитровград</w:t>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color w:val="000000"/>
                <w:sz w:val="16"/>
                <w:szCs w:val="16"/>
              </w:rPr>
            </w:pPr>
            <w:r>
              <w:rPr>
                <w:rFonts w:eastAsia="Calibri" w:cs="Calibri"/>
                <w:color w:val="000000"/>
                <w:kern w:val="0"/>
                <w:sz w:val="18"/>
                <w:szCs w:val="18"/>
                <w:lang w:val="sr-RS" w:eastAsia="en-GB" w:bidi="ar-SA"/>
              </w:rPr>
              <w:t>Локални кординатор за Пројекат /члан радне групе за административна питања</w:t>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Категорија и име заинтересоване стране</w:t>
            </w:r>
          </w:p>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Датум ангажовања</w:t>
            </w:r>
          </w:p>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Начин консултације</w:t>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Кључни проблеми/забринутости</w:t>
            </w:r>
          </w:p>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Датум одговора</w:t>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Праћење договорених будућих акција</w:t>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color w:val="000000"/>
                <w:sz w:val="18"/>
                <w:szCs w:val="18"/>
              </w:rPr>
            </w:pPr>
            <w:r>
              <w:rPr>
                <w:rFonts w:eastAsia="Calibri" w:cs="Calibri"/>
                <w:color w:val="000000"/>
                <w:kern w:val="0"/>
                <w:sz w:val="18"/>
                <w:szCs w:val="18"/>
                <w:lang w:val="sr-RS" w:eastAsia="en-GB" w:bidi="ar-SA"/>
              </w:rPr>
              <w:t>Напомене о напретку</w:t>
            </w:r>
          </w:p>
          <w:p>
            <w:pPr>
              <w:pStyle w:val="Normal"/>
              <w:widowControl/>
              <w:suppressAutoHyphens w:val="true"/>
              <w:spacing w:lineRule="auto" w:line="240" w:before="0" w:after="0"/>
              <w:jc w:val="left"/>
              <w:rPr>
                <w:color w:val="000000"/>
                <w:sz w:val="18"/>
                <w:szCs w:val="18"/>
              </w:rPr>
            </w:pPr>
            <w:r>
              <w:rPr>
                <w:color w:val="000000"/>
                <w:sz w:val="18"/>
                <w:szCs w:val="18"/>
              </w:rPr>
            </w:r>
          </w:p>
        </w:tc>
      </w:tr>
      <w:tr>
        <w:trPr>
          <w:trHeight w:val="230"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1</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i/>
                <w:i/>
                <w:sz w:val="16"/>
                <w:szCs w:val="16"/>
              </w:rPr>
            </w:pPr>
            <w:r>
              <w:rPr>
                <w:i/>
                <w:sz w:val="16"/>
                <w:szCs w:val="16"/>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rFonts w:eastAsia="Calibri" w:cs="Calibri"/>
                <w:i/>
                <w:color w:val="2F5496"/>
                <w:kern w:val="0"/>
                <w:sz w:val="18"/>
                <w:szCs w:val="18"/>
                <w:lang w:val="sr-RS" w:eastAsia="en-GB" w:bidi="ar-SA"/>
              </w:rPr>
              <w:t>(нпр. НВО, …)</w:t>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i/>
                <w:color w:val="2F5496"/>
                <w:kern w:val="0"/>
                <w:sz w:val="18"/>
                <w:szCs w:val="18"/>
                <w:lang w:val="sr-RS" w:eastAsia="en-GB" w:bidi="ar-SA"/>
              </w:rPr>
              <w:t>(нпр. Званични састанак, презентација, неформални састанак…)</w:t>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Јавни састанак, Преглед питања дос</w:t>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253"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2</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253"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3</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230"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4</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253"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rFonts w:eastAsia="Calibri" w:cs="Calibri"/>
                <w:color w:val="2F5496"/>
                <w:kern w:val="0"/>
                <w:sz w:val="18"/>
                <w:szCs w:val="18"/>
                <w:lang w:val="sr-RS" w:eastAsia="en-GB" w:bidi="ar-SA"/>
              </w:rPr>
              <w:t>5</w:t>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r>
        <w:trPr>
          <w:trHeight w:val="253" w:hRule="atLeast"/>
        </w:trPr>
        <w:tc>
          <w:tcPr>
            <w:tcW w:w="69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42" w:type="dxa"/>
            <w:tcBorders>
              <w:top w:val="single" w:sz="4" w:space="0" w:color="B4C6E7"/>
              <w:left w:val="single" w:sz="4" w:space="0" w:color="B4C6E7"/>
              <w:bottom w:val="single" w:sz="4" w:space="0" w:color="B4C6E7"/>
              <w:right w:val="single" w:sz="4" w:space="0" w:color="B4C6E7"/>
            </w:tcBorders>
            <w:shd w:color="auto" w:fill="D9D9D9" w:val="clear"/>
          </w:tcPr>
          <w:p>
            <w:pPr>
              <w:pStyle w:val="Normal"/>
              <w:widowControl/>
              <w:suppressAutoHyphens w:val="true"/>
              <w:spacing w:lineRule="auto" w:line="240" w:before="0" w:after="0"/>
              <w:jc w:val="left"/>
              <w:rPr>
                <w:sz w:val="18"/>
                <w:szCs w:val="18"/>
              </w:rPr>
            </w:pPr>
            <w:r>
              <w:rPr>
                <w:sz w:val="18"/>
                <w:szCs w:val="18"/>
              </w:rPr>
            </w:r>
          </w:p>
        </w:tc>
        <w:tc>
          <w:tcPr>
            <w:tcW w:w="1578"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445" w:type="dxa"/>
            <w:tcBorders>
              <w:top w:val="single" w:sz="4" w:space="0" w:color="B4C6E7"/>
              <w:left w:val="single" w:sz="4" w:space="0" w:color="B4C6E7"/>
              <w:bottom w:val="single" w:sz="4" w:space="0" w:color="B4C6E7"/>
              <w:right w:val="single" w:sz="4" w:space="0" w:color="B4C6E7"/>
            </w:tcBorders>
            <w:shd w:color="auto" w:fill="FFFFFF" w:val="clear"/>
          </w:tcPr>
          <w:p>
            <w:pPr>
              <w:pStyle w:val="Normal"/>
              <w:widowControl/>
              <w:suppressAutoHyphens w:val="true"/>
              <w:spacing w:lineRule="auto" w:line="240" w:before="0" w:after="0"/>
              <w:jc w:val="left"/>
              <w:rPr>
                <w:sz w:val="18"/>
                <w:szCs w:val="18"/>
              </w:rPr>
            </w:pPr>
            <w:r>
              <w:rPr>
                <w:sz w:val="18"/>
                <w:szCs w:val="18"/>
              </w:rPr>
            </w:r>
          </w:p>
        </w:tc>
        <w:tc>
          <w:tcPr>
            <w:tcW w:w="1350"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2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2101"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676"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1205"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c>
          <w:tcPr>
            <w:tcW w:w="999" w:type="dxa"/>
            <w:tcBorders>
              <w:top w:val="single" w:sz="4" w:space="0" w:color="B4C6E7"/>
              <w:left w:val="single" w:sz="4" w:space="0" w:color="B4C6E7"/>
              <w:bottom w:val="single" w:sz="4" w:space="0" w:color="B4C6E7"/>
              <w:right w:val="single" w:sz="4" w:space="0" w:color="B4C6E7"/>
            </w:tcBorders>
          </w:tcPr>
          <w:p>
            <w:pPr>
              <w:pStyle w:val="Normal"/>
              <w:widowControl/>
              <w:suppressAutoHyphens w:val="true"/>
              <w:spacing w:lineRule="auto" w:line="240" w:before="0" w:after="0"/>
              <w:jc w:val="left"/>
              <w:rPr>
                <w:sz w:val="18"/>
                <w:szCs w:val="18"/>
              </w:rPr>
            </w:pPr>
            <w:r>
              <w:rPr>
                <w:sz w:val="18"/>
                <w:szCs w:val="18"/>
              </w:rPr>
            </w:r>
          </w:p>
        </w:tc>
      </w:tr>
    </w:tbl>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1"/>
        <w:spacing w:before="280" w:after="280"/>
        <w:rPr/>
      </w:pPr>
      <w:r>
        <w:rPr/>
      </w:r>
    </w:p>
    <w:p>
      <w:pPr>
        <w:pStyle w:val="Heading1"/>
        <w:spacing w:before="0" w:after="280"/>
        <w:rPr/>
      </w:pPr>
      <w:bookmarkStart w:id="14" w:name="_Toc210082077"/>
      <w:r>
        <w:rPr/>
        <w:t xml:space="preserve">Прилог 04 – Потенцијална зона директног утицаја реализације Потпројекта на становништво </w:t>
      </w:r>
      <w:bookmarkEnd w:id="14"/>
      <w:r>
        <mc:AlternateContent>
          <mc:Choice Requires="wps">
            <w:drawing>
              <wp:anchor behindDoc="0" distT="15240" distB="14605" distL="14605" distR="15240" simplePos="0" locked="0" layoutInCell="1" allowOverlap="1" relativeHeight="7" wp14:anchorId="6A6CF117">
                <wp:simplePos x="0" y="0"/>
                <wp:positionH relativeFrom="column">
                  <wp:posOffset>788670</wp:posOffset>
                </wp:positionH>
                <wp:positionV relativeFrom="paragraph">
                  <wp:posOffset>610870</wp:posOffset>
                </wp:positionV>
                <wp:extent cx="8187690" cy="4221480"/>
                <wp:effectExtent l="14605" t="15240" r="15240" b="14605"/>
                <wp:wrapNone/>
                <wp:docPr id="3" name="Oval 4"/>
                <a:graphic xmlns:a="http://schemas.openxmlformats.org/drawingml/2006/main">
                  <a:graphicData uri="http://schemas.microsoft.com/office/word/2010/wordprocessingShape">
                    <wps:wsp>
                      <wps:cNvSpPr/>
                      <wps:spPr>
                        <a:xfrm>
                          <a:off x="0" y="0"/>
                          <a:ext cx="8187840" cy="4221360"/>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wps:style>
                      <wps:bodyPr/>
                    </wps:wsp>
                  </a:graphicData>
                </a:graphic>
              </wp:anchor>
            </w:drawing>
          </mc:Choice>
          <mc:Fallback>
            <w:pict>
              <v:oval id="shape_0" ID="Oval 4" path="l-2147483648,-2147483643l-2147483628,-2147483627l-2147483648,-2147483643l-2147483626,-2147483625xe" stroked="t" o:allowincell="f" style="position:absolute;margin-left:62.1pt;margin-top:48.1pt;width:644.65pt;height:332.35pt;mso-wrap-style:none;v-text-anchor:middle" wp14:anchorId="6A6CF117">
                <v:fill o:detectmouseclick="t" on="false"/>
                <v:stroke color="#ee0000" weight="28440" joinstyle="miter" endcap="flat"/>
                <w10:wrap type="none"/>
              </v:oval>
            </w:pict>
          </mc:Fallback>
        </mc:AlternateContent>
      </w:r>
      <w:r>
        <w:rPr/>
        <w:t xml:space="preserve">Димитровграда </w:t>
      </w:r>
      <w:r>
        <w:rPr/>
        <w:drawing>
          <wp:inline distT="0" distB="0" distL="0" distR="0">
            <wp:extent cx="8893175" cy="5265420"/>
            <wp:effectExtent l="0" t="0" r="0" b="0"/>
            <wp:docPr id="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
                    <pic:cNvPicPr>
                      <a:picLocks noChangeAspect="1" noChangeArrowheads="1"/>
                    </pic:cNvPicPr>
                  </pic:nvPicPr>
                  <pic:blipFill>
                    <a:blip r:embed="rId43"/>
                    <a:stretch>
                      <a:fillRect/>
                    </a:stretch>
                  </pic:blipFill>
                  <pic:spPr bwMode="auto">
                    <a:xfrm>
                      <a:off x="0" y="0"/>
                      <a:ext cx="8893175" cy="5265420"/>
                    </a:xfrm>
                    <a:prstGeom prst="rect">
                      <a:avLst/>
                    </a:prstGeom>
                    <a:noFill/>
                  </pic:spPr>
                </pic:pic>
              </a:graphicData>
            </a:graphic>
          </wp:inline>
        </w:drawing>
      </w:r>
    </w:p>
    <w:p>
      <w:pPr>
        <w:pStyle w:val="Heading1"/>
        <w:spacing w:before="280" w:after="280"/>
        <w:rPr/>
      </w:pPr>
      <w:r>
        <w:rPr/>
      </w:r>
    </w:p>
    <w:p>
      <w:pPr>
        <w:pStyle w:val="Heading1"/>
        <w:spacing w:before="280" w:after="280"/>
        <w:rPr/>
      </w:pPr>
      <w:bookmarkStart w:id="15" w:name="_Toc210082079"/>
      <w:r>
        <w:rPr/>
        <w:t xml:space="preserve">Прилог 5 - Списак организација и фондација на територији </w:t>
      </w:r>
      <w:bookmarkEnd w:id="15"/>
      <w:r>
        <w:rPr/>
        <w:t xml:space="preserve">Димитровграда </w:t>
      </w:r>
    </w:p>
    <w:tbl>
      <w:tblPr>
        <w:tblW w:w="10613" w:type="dxa"/>
        <w:jc w:val="left"/>
        <w:tblInd w:w="0" w:type="dxa"/>
        <w:tblLayout w:type="fixed"/>
        <w:tblCellMar>
          <w:top w:w="15" w:type="dxa"/>
          <w:left w:w="15" w:type="dxa"/>
          <w:bottom w:w="15" w:type="dxa"/>
          <w:right w:w="15" w:type="dxa"/>
        </w:tblCellMar>
        <w:tblLook w:firstRow="1" w:noVBand="1" w:lastRow="0" w:firstColumn="1" w:lastColumn="0" w:noHBand="0" w:val="04a0"/>
      </w:tblPr>
      <w:tblGrid>
        <w:gridCol w:w="9199"/>
        <w:gridCol w:w="1413"/>
      </w:tblGrid>
      <w:tr>
        <w:trPr>
          <w:tblHeader w:val="true"/>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b/>
                <w:bCs/>
                <w:lang w:val="en-US"/>
              </w:rPr>
            </w:pPr>
            <w:r>
              <w:rPr>
                <w:b/>
                <w:bCs/>
                <w:lang w:val="en-US"/>
              </w:rPr>
              <w:t>Назив</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b/>
                <w:bCs/>
                <w:lang w:val="en-US"/>
              </w:rPr>
            </w:pPr>
            <w:r>
              <w:rPr>
                <w:b/>
                <w:bCs/>
                <w:lang w:val="en-US"/>
              </w:rPr>
              <w:t>Матични број</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Crveni krst Srbije - Crveni krst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07238479</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Opštinski odbor SUBNOR opštine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07133405</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PČELARA OPŠTINE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17030370</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PENZIONERA OPŠTINE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28025076</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za negovanje tradicije "Niti"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28192436</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hendikepiranih lica HENDIKEP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17619993</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Opštinska organizacija invalida rada "Caribrod"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07133430</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ratnih vojnih invalida i porodica poginulih boraca Opštine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17767461</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odgajivača golubova srpskih visokoletača SRB-480 "Tekir"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17816055</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SAVEZ UDRUŽENJA BORACA NARODNOOSLOBODILAČKIH RATOVA OPŠTINSKI ODBOR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28349858</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POKRET GORANA DIMITROVGRADA</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28358261</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"Ekotur - Stara planina Dimitrovgrad"</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17666924</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Radio klub "Dimitrovgrad" YU1AHW</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07240368</w:t>
            </w:r>
          </w:p>
        </w:tc>
      </w:tr>
      <w:tr>
        <w:trPr/>
        <w:tc>
          <w:tcPr>
            <w:tcW w:w="9199"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Udruženje likovnih stvaralaca Dimitrovgrada</w:t>
            </w:r>
          </w:p>
        </w:tc>
        <w:tc>
          <w:tcPr>
            <w:tcW w:w="1413" w:type="dxa"/>
            <w:tcBorders>
              <w:top w:val="single" w:sz="4" w:space="0" w:color="000000"/>
              <w:left w:val="single" w:sz="4" w:space="0" w:color="000000"/>
              <w:bottom w:val="single" w:sz="4" w:space="0" w:color="000000"/>
              <w:right w:val="single" w:sz="4" w:space="0" w:color="000000"/>
            </w:tcBorders>
            <w:vAlign w:val="center"/>
          </w:tcPr>
          <w:p>
            <w:pPr>
              <w:pStyle w:val="Normal"/>
              <w:spacing w:before="0" w:after="160"/>
              <w:rPr>
                <w:lang w:val="en-US"/>
              </w:rPr>
            </w:pPr>
            <w:r>
              <w:rPr>
                <w:lang w:val="en-US"/>
              </w:rPr>
              <w:t>17124013</w:t>
            </w:r>
          </w:p>
        </w:tc>
      </w:tr>
    </w:tbl>
    <w:p>
      <w:pPr>
        <w:pStyle w:val="Normal"/>
        <w:spacing w:before="0" w:after="160"/>
        <w:rPr/>
      </w:pPr>
      <w:r>
        <w:rPr/>
      </w:r>
    </w:p>
    <w:sectPr>
      <w:headerReference w:type="even" r:id="rId44"/>
      <w:headerReference w:type="default" r:id="rId45"/>
      <w:headerReference w:type="first" r:id="rId46"/>
      <w:footerReference w:type="even" r:id="rId47"/>
      <w:footerReference w:type="default" r:id="rId48"/>
      <w:footerReference w:type="first" r:id="rId49"/>
      <w:type w:val="nextPage"/>
      <w:pgSz w:orient="landscape" w:w="15840" w:h="12240"/>
      <w:pgMar w:left="720" w:right="720" w:gutter="0" w:header="720" w:top="777" w:footer="720" w:bottom="777"/>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Segoe UI">
    <w:charset w:val="00"/>
    <w:family w:val="swiss"/>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Calibri Light">
    <w:charset w:val="00"/>
    <w:family w:val="swiss"/>
    <w:pitch w:val="variable"/>
    <w:embedRegular r:id="rId22" w:fontKey="{16014A78-CABC-4EF0-12AC-5CD89AEFDE16}"/>
  </w:font>
  <w:font w:name="Liberation Sans">
    <w:altName w:val="Arial"/>
    <w:charset w:val="00"/>
    <w:family w:val="swiss"/>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Georgia">
    <w:charset w:val="00"/>
    <w:family w:val="roman"/>
    <w:pitch w:val="variable"/>
    <w:embedRegular r:id="rId27" w:fontKey="{1B014A78-CABC-4EF0-12AC-5CD89AEFDE1B}"/>
    <w:embedBold r:id="rId28" w:fontKey="{1C014A78-CABC-4EF0-12AC-5CD89AEFDE1C}"/>
    <w:embedItalic r:id="rId29" w:fontKey="{1D014A78-CABC-4EF0-12AC-5CD89AEFDE1D}"/>
    <w:embedBoldItalic r:id="rId30" w:fontKey="{1E014A78-CABC-4EF0-12AC-5CD89AEFDE1E}"/>
  </w:font>
  <w:font w:name="Arial Unicode MS">
    <w:charset w:val="00"/>
    <w:family w:val="swiss"/>
    <w:pitch w:val="variable"/>
  </w:font>
  <w:font w:name="Noto Sans Symbols">
    <w:charset w:val="01"/>
    <w:family w:val="swiss"/>
    <w:pitch w:val="default"/>
  </w:font>
  <w:font w:name="Courier New">
    <w:charset w:val="01"/>
    <w:family w:val="modern"/>
    <w:pitch w:val="fixed"/>
    <w:embedRegular r:id="rId31" w:fontKey="{1F014A78-CABC-4EF0-12AC-5CD89AEFDE1F}"/>
    <w:embedBold r:id="rId32" w:fontKey="{20014A78-CABC-4EF0-12AC-5CD89AEFDE20}"/>
    <w:embedItalic r:id="rId33" w:fontKey="{21014A78-CABC-4EF0-12AC-5CD89AEFDE21}"/>
    <w:embedBoldItalic r:id="rId34" w:fontKey="{22014A78-CABC-4EF0-12AC-5CD89AEFDE22}"/>
  </w:font>
  <w:font w:name="Calibri">
    <w:charset w:val="01"/>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spacing w:lineRule="auto" w:line="240" w:before="0" w:after="0"/>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13</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13</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spacing w:lineRule="auto" w:line="240" w:before="0" w:after="0"/>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16</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16</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spacing w:lineRule="auto" w:line="240" w:before="0" w:after="0"/>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18</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18</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ind w:hanging="360" w:left="1440"/>
      <w:rPr>
        <w:color w:val="000000"/>
      </w:rPr>
    </w:pPr>
    <w:r>
      <w:rPr>
        <w:color w:val="000000"/>
      </w:rPr>
    </w:r>
  </w:p>
  <w:p>
    <w:pPr>
      <w:pStyle w:val="Normal"/>
      <w:tabs>
        <w:tab w:val="clear" w:pos="720"/>
        <w:tab w:val="center" w:pos="4680" w:leader="none"/>
        <w:tab w:val="right" w:pos="9360" w:leader="none"/>
      </w:tabs>
      <w:spacing w:lineRule="auto" w:line="240" w:before="0" w:after="0"/>
      <w:ind w:hanging="360" w:left="1440"/>
      <w:rPr>
        <w:color w:val="000000"/>
      </w:rPr>
    </w:pPr>
    <w:r>
      <w:rPr>
        <w:color w:val="000000"/>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22</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22</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ind w:hanging="360" w:left="1440"/>
      <w:rPr>
        <w:color w:val="000000"/>
      </w:rPr>
    </w:pPr>
    <w:r>
      <w:rPr>
        <w:color w:val="000000"/>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0</w:t>
    </w:r>
    <w:r>
      <w:rPr>
        <w:sz w:val="20"/>
        <w:szCs w:val="20"/>
        <w:color w:val="2F5496"/>
      </w:rPr>
      <w:fldChar w:fldCharType="end"/>
    </w:r>
    <w:r>
      <w:rPr>
        <w:color w:val="2F5496"/>
        <w:sz w:val="20"/>
        <w:szCs w:val="20"/>
      </w:rPr>
      <w:t xml:space="preserve"> </w:t>
    </w:r>
    <w:r>
      <w:rPr>
        <w:color w:val="2F5496"/>
        <w:sz w:val="20"/>
        <w:szCs w:val="20"/>
      </w:rPr>
      <w:t>|</w:t>
    </w:r>
  </w:p>
  <w:p>
    <w:pPr>
      <w:pStyle w:val="Normal"/>
      <w:spacing w:before="0" w:after="160"/>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tabs>
        <w:tab w:val="clear" w:pos="720"/>
        <w:tab w:val="center" w:pos="4680" w:leader="none"/>
        <w:tab w:val="right" w:pos="9360" w:leader="none"/>
      </w:tabs>
      <w:spacing w:lineRule="auto" w:line="240" w:before="0" w:after="0"/>
      <w:ind w:hanging="360" w:left="1440"/>
      <w:rPr>
        <w:color w:val="000000"/>
      </w:rPr>
    </w:pPr>
    <w:r>
      <w:rPr>
        <w:color w:val="000000"/>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numPr>
        <w:ilvl w:val="0"/>
        <w:numId w:val="3"/>
      </w:numP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numPr>
        <w:ilvl w:val="0"/>
        <w:numId w:val="3"/>
      </w:numPr>
      <w:pBdr>
        <w:top w:val="single" w:sz="4" w:space="1" w:color="D9D9D9"/>
      </w:pBdr>
      <w:tabs>
        <w:tab w:val="clear" w:pos="720"/>
        <w:tab w:val="center" w:pos="4680" w:leader="none"/>
        <w:tab w:val="right" w:pos="9360" w:leader="none"/>
      </w:tabs>
      <w:spacing w:lineRule="auto" w:line="240" w:before="0" w:after="0"/>
      <w:ind w:hanging="360" w:left="1440"/>
      <w:jc w:val="right"/>
      <w:rPr>
        <w:color w:val="2F5496"/>
        <w:sz w:val="20"/>
        <w:szCs w:val="20"/>
      </w:rPr>
    </w:pPr>
    <w:r>
      <w:rPr>
        <w:color w:val="2F5496"/>
        <w:sz w:val="20"/>
        <w:szCs w:val="20"/>
      </w:rPr>
      <w:fldChar w:fldCharType="begin"/>
    </w:r>
    <w:r>
      <w:rPr>
        <w:sz w:val="20"/>
        <w:szCs w:val="20"/>
        <w:color w:val="2F5496"/>
      </w:rPr>
      <w:instrText xml:space="preserve"> PAGE </w:instrText>
    </w:r>
    <w:r>
      <w:rPr>
        <w:sz w:val="20"/>
        <w:szCs w:val="20"/>
        <w:color w:val="2F5496"/>
      </w:rPr>
      <w:fldChar w:fldCharType="separate"/>
    </w:r>
    <w:r>
      <w:rPr>
        <w:sz w:val="20"/>
        <w:szCs w:val="20"/>
        <w:color w:val="2F5496"/>
      </w:rPr>
      <w:t>1</w:t>
    </w:r>
    <w:r>
      <w:rPr>
        <w:sz w:val="20"/>
        <w:szCs w:val="20"/>
        <w:color w:val="2F5496"/>
      </w:rPr>
      <w:fldChar w:fldCharType="end"/>
    </w:r>
    <w:r>
      <w:rPr>
        <w:color w:val="2F5496"/>
        <w:sz w:val="20"/>
        <w:szCs w:val="20"/>
      </w:rPr>
      <w:t xml:space="preserve"> </w:t>
    </w:r>
    <w:r>
      <w:rPr>
        <w:color w:val="2F5496"/>
        <w:sz w:val="20"/>
        <w:szCs w:val="20"/>
      </w:rPr>
      <w:t>|</w:t>
    </w:r>
  </w:p>
  <w:p>
    <w:pPr>
      <w:pStyle w:val="Normal"/>
      <w:numPr>
        <w:ilvl w:val="0"/>
        <w:numId w:val="3"/>
      </w:numPr>
      <w:spacing w:before="0" w:after="160"/>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20"/>
        <w:tab w:val="center" w:pos="4680" w:leader="none"/>
        <w:tab w:val="right" w:pos="9360" w:leader="none"/>
      </w:tabs>
      <w:spacing w:lineRule="auto" w:line="240" w:before="0" w:after="0"/>
      <w:jc w:val="both"/>
      <w:rPr>
        <w:i/>
        <w:i/>
        <w:color w:val="2F5496"/>
        <w:sz w:val="20"/>
        <w:szCs w:val="20"/>
        <w:u w:val="single"/>
      </w:rPr>
    </w:pPr>
    <w:r>
      <w:rPr>
        <w:i/>
        <w:color w:val="2F5496"/>
        <w:sz w:val="20"/>
        <w:szCs w:val="20"/>
        <w:u w:val="single"/>
      </w:rPr>
      <w:t xml:space="preserve">Пројекат развоја локалне инфраструктуре и институционалног јачања локалних самоуправa (LIID)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upperRoman"/>
      <w:lvlText w:val="%1."/>
      <w:lvlJc w:val="left"/>
      <w:pPr>
        <w:tabs>
          <w:tab w:val="num" w:pos="0"/>
        </w:tabs>
        <w:ind w:left="360" w:hanging="360"/>
      </w:pPr>
      <w:rPr/>
    </w:lvl>
    <w:lvl w:ilvl="1">
      <w:start w:val="1"/>
      <w:numFmt w:val="decimal"/>
      <w:lvlText w:val="%1.%2"/>
      <w:lvlJc w:val="left"/>
      <w:pPr>
        <w:tabs>
          <w:tab w:val="num" w:pos="0"/>
        </w:tabs>
        <w:ind w:left="1083" w:hanging="375"/>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440" w:hanging="1440"/>
      </w:pPr>
      <w:rPr/>
    </w:lvl>
  </w:abstractNum>
  <w:abstractNum w:abstractNumId="2">
    <w:lvl w:ilvl="0">
      <w:start w:val="1"/>
      <w:numFmt w:val="bullet"/>
      <w:lvlText w:val="▪"/>
      <w:lvlJc w:val="left"/>
      <w:pPr>
        <w:tabs>
          <w:tab w:val="num" w:pos="0"/>
        </w:tabs>
        <w:ind w:left="1440" w:hanging="360"/>
      </w:pPr>
      <w:rPr>
        <w:rFonts w:ascii="Noto Sans Symbols" w:hAnsi="Noto Sans Symbols" w:cs="Noto Sans Symbols" w:hint="default"/>
        <w:color w:val="323E4F"/>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Noto Sans Symbols" w:hAnsi="Noto Sans Symbols" w:cs="Noto Sans Symbols" w:hint="default"/>
      </w:rPr>
    </w:lvl>
    <w:lvl w:ilvl="3">
      <w:start w:val="1"/>
      <w:numFmt w:val="bullet"/>
      <w:lvlText w:val="●"/>
      <w:lvlJc w:val="left"/>
      <w:pPr>
        <w:tabs>
          <w:tab w:val="num" w:pos="0"/>
        </w:tabs>
        <w:ind w:left="3600" w:hanging="360"/>
      </w:pPr>
      <w:rPr>
        <w:rFonts w:ascii="Noto Sans Symbols" w:hAnsi="Noto Sans Symbols" w:cs="Noto Sans Symbols"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Noto Sans Symbols" w:hAnsi="Noto Sans Symbols" w:cs="Noto Sans Symbols" w:hint="default"/>
      </w:rPr>
    </w:lvl>
    <w:lvl w:ilvl="6">
      <w:start w:val="1"/>
      <w:numFmt w:val="bullet"/>
      <w:lvlText w:val="●"/>
      <w:lvlJc w:val="left"/>
      <w:pPr>
        <w:tabs>
          <w:tab w:val="num" w:pos="0"/>
        </w:tabs>
        <w:ind w:left="5760" w:hanging="360"/>
      </w:pPr>
      <w:rPr>
        <w:rFonts w:ascii="Noto Sans Symbols" w:hAnsi="Noto Sans Symbols" w:cs="Noto Sans Symbols"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Noto Sans Symbols" w:hAnsi="Noto Sans Symbols" w:cs="Noto Sans Symbols" w:hint="default"/>
      </w:rPr>
    </w:lvl>
  </w:abstractNum>
  <w:abstractNum w:abstractNumId="3">
    <w:lvl w:ilvl="0">
      <w:start w:val="1"/>
      <w:numFmt w:val="bullet"/>
      <w:lvlText w:val="▪"/>
      <w:lvlJc w:val="left"/>
      <w:pPr>
        <w:tabs>
          <w:tab w:val="num" w:pos="0"/>
        </w:tabs>
        <w:ind w:left="720" w:hanging="360"/>
      </w:pPr>
      <w:rPr>
        <w:rFonts w:ascii="Noto Sans Symbols" w:hAnsi="Noto Sans Symbols" w:cs="Noto Sans Symbols" w:hint="default"/>
        <w:color w:val="323E4F"/>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4">
    <w:lvl w:ilvl="0">
      <w:start w:val="1"/>
      <w:numFmt w:val="bullet"/>
      <w:lvlText w:val="▪"/>
      <w:lvlJc w:val="left"/>
      <w:pPr>
        <w:tabs>
          <w:tab w:val="num" w:pos="0"/>
        </w:tabs>
        <w:ind w:left="720" w:hanging="360"/>
      </w:pPr>
      <w:rPr>
        <w:rFonts w:ascii="Noto Sans Symbols" w:hAnsi="Noto Sans Symbols" w:cs="Noto Sans Symbols" w:hint="default"/>
        <w:color w:val="323E4F"/>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5">
    <w:lvl w:ilvl="0">
      <w:start w:val="1"/>
      <w:numFmt w:val="bullet"/>
      <w:lvlText w:val="▪"/>
      <w:lvlJc w:val="left"/>
      <w:pPr>
        <w:tabs>
          <w:tab w:val="num" w:pos="0"/>
        </w:tabs>
        <w:ind w:left="720" w:hanging="360"/>
      </w:pPr>
      <w:rPr>
        <w:rFonts w:ascii="Noto Sans Symbols" w:hAnsi="Noto Sans Symbols" w:cs="Noto Sans Symbols" w:hint="default"/>
        <w:color w:val="323E4F"/>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6">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7">
    <w:lvl w:ilvl="0">
      <w:start w:val="1"/>
      <w:numFmt w:val="bullet"/>
      <w:lvlText w:val="▪"/>
      <w:lvlJc w:val="left"/>
      <w:pPr>
        <w:tabs>
          <w:tab w:val="num" w:pos="0"/>
        </w:tabs>
        <w:ind w:left="708" w:hanging="360"/>
      </w:pPr>
      <w:rPr>
        <w:rFonts w:ascii="Noto Sans Symbols" w:hAnsi="Noto Sans Symbols" w:cs="Noto Sans Symbols" w:hint="default"/>
      </w:rPr>
    </w:lvl>
    <w:lvl w:ilvl="1">
      <w:start w:val="1"/>
      <w:numFmt w:val="bullet"/>
      <w:lvlText w:val="o"/>
      <w:lvlJc w:val="left"/>
      <w:pPr>
        <w:tabs>
          <w:tab w:val="num" w:pos="0"/>
        </w:tabs>
        <w:ind w:left="1428" w:hanging="360"/>
      </w:pPr>
      <w:rPr>
        <w:rFonts w:ascii="Courier New" w:hAnsi="Courier New" w:cs="Courier New" w:hint="default"/>
      </w:rPr>
    </w:lvl>
    <w:lvl w:ilvl="2">
      <w:start w:val="1"/>
      <w:numFmt w:val="bullet"/>
      <w:lvlText w:val="▪"/>
      <w:lvlJc w:val="left"/>
      <w:pPr>
        <w:tabs>
          <w:tab w:val="num" w:pos="0"/>
        </w:tabs>
        <w:ind w:left="2148" w:hanging="360"/>
      </w:pPr>
      <w:rPr>
        <w:rFonts w:ascii="Noto Sans Symbols" w:hAnsi="Noto Sans Symbols" w:cs="Noto Sans Symbols" w:hint="default"/>
      </w:rPr>
    </w:lvl>
    <w:lvl w:ilvl="3">
      <w:start w:val="1"/>
      <w:numFmt w:val="bullet"/>
      <w:lvlText w:val="●"/>
      <w:lvlJc w:val="left"/>
      <w:pPr>
        <w:tabs>
          <w:tab w:val="num" w:pos="0"/>
        </w:tabs>
        <w:ind w:left="2868" w:hanging="360"/>
      </w:pPr>
      <w:rPr>
        <w:rFonts w:ascii="Noto Sans Symbols" w:hAnsi="Noto Sans Symbols" w:cs="Noto Sans Symbols" w:hint="default"/>
      </w:rPr>
    </w:lvl>
    <w:lvl w:ilvl="4">
      <w:start w:val="1"/>
      <w:numFmt w:val="bullet"/>
      <w:lvlText w:val="o"/>
      <w:lvlJc w:val="left"/>
      <w:pPr>
        <w:tabs>
          <w:tab w:val="num" w:pos="0"/>
        </w:tabs>
        <w:ind w:left="3588" w:hanging="360"/>
      </w:pPr>
      <w:rPr>
        <w:rFonts w:ascii="Courier New" w:hAnsi="Courier New" w:cs="Courier New" w:hint="default"/>
      </w:rPr>
    </w:lvl>
    <w:lvl w:ilvl="5">
      <w:start w:val="1"/>
      <w:numFmt w:val="bullet"/>
      <w:lvlText w:val="▪"/>
      <w:lvlJc w:val="left"/>
      <w:pPr>
        <w:tabs>
          <w:tab w:val="num" w:pos="0"/>
        </w:tabs>
        <w:ind w:left="4308" w:hanging="360"/>
      </w:pPr>
      <w:rPr>
        <w:rFonts w:ascii="Noto Sans Symbols" w:hAnsi="Noto Sans Symbols" w:cs="Noto Sans Symbols" w:hint="default"/>
      </w:rPr>
    </w:lvl>
    <w:lvl w:ilvl="6">
      <w:start w:val="1"/>
      <w:numFmt w:val="bullet"/>
      <w:lvlText w:val="●"/>
      <w:lvlJc w:val="left"/>
      <w:pPr>
        <w:tabs>
          <w:tab w:val="num" w:pos="0"/>
        </w:tabs>
        <w:ind w:left="5028" w:hanging="360"/>
      </w:pPr>
      <w:rPr>
        <w:rFonts w:ascii="Noto Sans Symbols" w:hAnsi="Noto Sans Symbols" w:cs="Noto Sans Symbols" w:hint="default"/>
      </w:rPr>
    </w:lvl>
    <w:lvl w:ilvl="7">
      <w:start w:val="1"/>
      <w:numFmt w:val="bullet"/>
      <w:lvlText w:val="o"/>
      <w:lvlJc w:val="left"/>
      <w:pPr>
        <w:tabs>
          <w:tab w:val="num" w:pos="0"/>
        </w:tabs>
        <w:ind w:left="5748" w:hanging="360"/>
      </w:pPr>
      <w:rPr>
        <w:rFonts w:ascii="Courier New" w:hAnsi="Courier New" w:cs="Courier New" w:hint="default"/>
      </w:rPr>
    </w:lvl>
    <w:lvl w:ilvl="8">
      <w:start w:val="1"/>
      <w:numFmt w:val="bullet"/>
      <w:lvlText w:val="▪"/>
      <w:lvlJc w:val="left"/>
      <w:pPr>
        <w:tabs>
          <w:tab w:val="num" w:pos="0"/>
        </w:tabs>
        <w:ind w:left="6468" w:hanging="360"/>
      </w:pPr>
      <w:rPr>
        <w:rFonts w:ascii="Noto Sans Symbols" w:hAnsi="Noto Sans Symbols" w:cs="Noto Sans Symbols" w:hint="default"/>
      </w:rPr>
    </w:lvl>
  </w:abstractNum>
  <w:abstractNum w:abstractNumId="8">
    <w:lvl w:ilvl="0">
      <w:numFmt w:val="bullet"/>
      <w:lvlText w:val="-"/>
      <w:lvlJc w:val="left"/>
      <w:pPr>
        <w:tabs>
          <w:tab w:val="num" w:pos="0"/>
        </w:tabs>
        <w:ind w:left="618" w:hanging="360"/>
      </w:pPr>
      <w:rPr>
        <w:rFonts w:ascii="Calibri" w:hAnsi="Calibri" w:cs="Calibri" w:hint="default"/>
      </w:rPr>
    </w:lvl>
    <w:lvl w:ilvl="1">
      <w:start w:val="1"/>
      <w:numFmt w:val="bullet"/>
      <w:lvlText w:val="o"/>
      <w:lvlJc w:val="left"/>
      <w:pPr>
        <w:tabs>
          <w:tab w:val="num" w:pos="0"/>
        </w:tabs>
        <w:ind w:left="1338" w:hanging="359"/>
      </w:pPr>
      <w:rPr>
        <w:rFonts w:ascii="Courier New" w:hAnsi="Courier New" w:cs="Courier New" w:hint="default"/>
      </w:rPr>
    </w:lvl>
    <w:lvl w:ilvl="2">
      <w:start w:val="1"/>
      <w:numFmt w:val="bullet"/>
      <w:lvlText w:val="▪"/>
      <w:lvlJc w:val="left"/>
      <w:pPr>
        <w:tabs>
          <w:tab w:val="num" w:pos="0"/>
        </w:tabs>
        <w:ind w:left="2058" w:hanging="360"/>
      </w:pPr>
      <w:rPr>
        <w:rFonts w:ascii="Noto Sans Symbols" w:hAnsi="Noto Sans Symbols" w:cs="Noto Sans Symbols" w:hint="default"/>
      </w:rPr>
    </w:lvl>
    <w:lvl w:ilvl="3">
      <w:start w:val="1"/>
      <w:numFmt w:val="bullet"/>
      <w:lvlText w:val="●"/>
      <w:lvlJc w:val="left"/>
      <w:pPr>
        <w:tabs>
          <w:tab w:val="num" w:pos="0"/>
        </w:tabs>
        <w:ind w:left="2778" w:hanging="360"/>
      </w:pPr>
      <w:rPr>
        <w:rFonts w:ascii="Noto Sans Symbols" w:hAnsi="Noto Sans Symbols" w:cs="Noto Sans Symbols" w:hint="default"/>
      </w:rPr>
    </w:lvl>
    <w:lvl w:ilvl="4">
      <w:start w:val="1"/>
      <w:numFmt w:val="bullet"/>
      <w:lvlText w:val="o"/>
      <w:lvlJc w:val="left"/>
      <w:pPr>
        <w:tabs>
          <w:tab w:val="num" w:pos="0"/>
        </w:tabs>
        <w:ind w:left="3498" w:hanging="360"/>
      </w:pPr>
      <w:rPr>
        <w:rFonts w:ascii="Courier New" w:hAnsi="Courier New" w:cs="Courier New" w:hint="default"/>
      </w:rPr>
    </w:lvl>
    <w:lvl w:ilvl="5">
      <w:start w:val="1"/>
      <w:numFmt w:val="bullet"/>
      <w:lvlText w:val="▪"/>
      <w:lvlJc w:val="left"/>
      <w:pPr>
        <w:tabs>
          <w:tab w:val="num" w:pos="0"/>
        </w:tabs>
        <w:ind w:left="4218" w:hanging="360"/>
      </w:pPr>
      <w:rPr>
        <w:rFonts w:ascii="Noto Sans Symbols" w:hAnsi="Noto Sans Symbols" w:cs="Noto Sans Symbols" w:hint="default"/>
      </w:rPr>
    </w:lvl>
    <w:lvl w:ilvl="6">
      <w:start w:val="1"/>
      <w:numFmt w:val="bullet"/>
      <w:lvlText w:val="●"/>
      <w:lvlJc w:val="left"/>
      <w:pPr>
        <w:tabs>
          <w:tab w:val="num" w:pos="0"/>
        </w:tabs>
        <w:ind w:left="4938" w:hanging="360"/>
      </w:pPr>
      <w:rPr>
        <w:rFonts w:ascii="Noto Sans Symbols" w:hAnsi="Noto Sans Symbols" w:cs="Noto Sans Symbols" w:hint="default"/>
      </w:rPr>
    </w:lvl>
    <w:lvl w:ilvl="7">
      <w:start w:val="1"/>
      <w:numFmt w:val="bullet"/>
      <w:lvlText w:val="o"/>
      <w:lvlJc w:val="left"/>
      <w:pPr>
        <w:tabs>
          <w:tab w:val="num" w:pos="0"/>
        </w:tabs>
        <w:ind w:left="5658" w:hanging="360"/>
      </w:pPr>
      <w:rPr>
        <w:rFonts w:ascii="Courier New" w:hAnsi="Courier New" w:cs="Courier New" w:hint="default"/>
      </w:rPr>
    </w:lvl>
    <w:lvl w:ilvl="8">
      <w:start w:val="1"/>
      <w:numFmt w:val="bullet"/>
      <w:lvlText w:val="▪"/>
      <w:lvlJc w:val="left"/>
      <w:pPr>
        <w:tabs>
          <w:tab w:val="num" w:pos="0"/>
        </w:tabs>
        <w:ind w:left="6378" w:hanging="360"/>
      </w:pPr>
      <w:rPr>
        <w:rFonts w:ascii="Noto Sans Symbols" w:hAnsi="Noto Sans Symbols" w:cs="Noto Sans Symbols" w:hint="default"/>
      </w:rPr>
    </w:lvl>
  </w:abstractNum>
  <w:abstractNum w:abstractNumId="9">
    <w:lvl w:ilvl="0">
      <w:start w:val="1"/>
      <w:numFmt w:val="bullet"/>
      <w:lvlText w:val="▪"/>
      <w:lvlJc w:val="left"/>
      <w:pPr>
        <w:tabs>
          <w:tab w:val="num" w:pos="0"/>
        </w:tabs>
        <w:ind w:left="720" w:hanging="360"/>
      </w:pPr>
      <w:rPr>
        <w:rFonts w:ascii="Noto Sans Symbols" w:hAnsi="Noto Sans Symbols" w:cs="Noto Sans Symbols" w:hint="default"/>
        <w:color w:val="323E4F"/>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10">
    <w:lvl w:ilvl="0">
      <w:start w:val="1"/>
      <w:numFmt w:val="bullet"/>
      <w:lvlText w:val="▪"/>
      <w:lvlJc w:val="left"/>
      <w:pPr>
        <w:tabs>
          <w:tab w:val="num" w:pos="0"/>
        </w:tabs>
        <w:ind w:left="360" w:hanging="360"/>
      </w:pPr>
      <w:rPr>
        <w:rFonts w:ascii="Noto Sans Symbols" w:hAnsi="Noto Sans Symbols" w:cs="Noto Sans Symbols" w:hint="default"/>
        <w:color w:val="323E4F"/>
      </w:rPr>
    </w:lvl>
    <w:lvl w:ilvl="1">
      <w:start w:val="1"/>
      <w:numFmt w:val="bullet"/>
      <w:lvlText w:val="o"/>
      <w:lvlJc w:val="left"/>
      <w:pPr>
        <w:tabs>
          <w:tab w:val="num" w:pos="0"/>
        </w:tabs>
        <w:ind w:left="1338" w:hanging="359"/>
      </w:pPr>
      <w:rPr>
        <w:rFonts w:ascii="Courier New" w:hAnsi="Courier New" w:cs="Courier New" w:hint="default"/>
      </w:rPr>
    </w:lvl>
    <w:lvl w:ilvl="2">
      <w:start w:val="1"/>
      <w:numFmt w:val="bullet"/>
      <w:lvlText w:val="▪"/>
      <w:lvlJc w:val="left"/>
      <w:pPr>
        <w:tabs>
          <w:tab w:val="num" w:pos="0"/>
        </w:tabs>
        <w:ind w:left="2058" w:hanging="360"/>
      </w:pPr>
      <w:rPr>
        <w:rFonts w:ascii="Noto Sans Symbols" w:hAnsi="Noto Sans Symbols" w:cs="Noto Sans Symbols" w:hint="default"/>
      </w:rPr>
    </w:lvl>
    <w:lvl w:ilvl="3">
      <w:start w:val="1"/>
      <w:numFmt w:val="bullet"/>
      <w:lvlText w:val="●"/>
      <w:lvlJc w:val="left"/>
      <w:pPr>
        <w:tabs>
          <w:tab w:val="num" w:pos="0"/>
        </w:tabs>
        <w:ind w:left="2778" w:hanging="360"/>
      </w:pPr>
      <w:rPr>
        <w:rFonts w:ascii="Noto Sans Symbols" w:hAnsi="Noto Sans Symbols" w:cs="Noto Sans Symbols" w:hint="default"/>
      </w:rPr>
    </w:lvl>
    <w:lvl w:ilvl="4">
      <w:start w:val="1"/>
      <w:numFmt w:val="bullet"/>
      <w:lvlText w:val="o"/>
      <w:lvlJc w:val="left"/>
      <w:pPr>
        <w:tabs>
          <w:tab w:val="num" w:pos="0"/>
        </w:tabs>
        <w:ind w:left="3498" w:hanging="360"/>
      </w:pPr>
      <w:rPr>
        <w:rFonts w:ascii="Courier New" w:hAnsi="Courier New" w:cs="Courier New" w:hint="default"/>
      </w:rPr>
    </w:lvl>
    <w:lvl w:ilvl="5">
      <w:start w:val="1"/>
      <w:numFmt w:val="bullet"/>
      <w:lvlText w:val="▪"/>
      <w:lvlJc w:val="left"/>
      <w:pPr>
        <w:tabs>
          <w:tab w:val="num" w:pos="0"/>
        </w:tabs>
        <w:ind w:left="4218" w:hanging="360"/>
      </w:pPr>
      <w:rPr>
        <w:rFonts w:ascii="Noto Sans Symbols" w:hAnsi="Noto Sans Symbols" w:cs="Noto Sans Symbols" w:hint="default"/>
      </w:rPr>
    </w:lvl>
    <w:lvl w:ilvl="6">
      <w:start w:val="1"/>
      <w:numFmt w:val="bullet"/>
      <w:lvlText w:val="●"/>
      <w:lvlJc w:val="left"/>
      <w:pPr>
        <w:tabs>
          <w:tab w:val="num" w:pos="0"/>
        </w:tabs>
        <w:ind w:left="4938" w:hanging="360"/>
      </w:pPr>
      <w:rPr>
        <w:rFonts w:ascii="Noto Sans Symbols" w:hAnsi="Noto Sans Symbols" w:cs="Noto Sans Symbols" w:hint="default"/>
      </w:rPr>
    </w:lvl>
    <w:lvl w:ilvl="7">
      <w:start w:val="1"/>
      <w:numFmt w:val="bullet"/>
      <w:lvlText w:val="o"/>
      <w:lvlJc w:val="left"/>
      <w:pPr>
        <w:tabs>
          <w:tab w:val="num" w:pos="0"/>
        </w:tabs>
        <w:ind w:left="5658" w:hanging="360"/>
      </w:pPr>
      <w:rPr>
        <w:rFonts w:ascii="Courier New" w:hAnsi="Courier New" w:cs="Courier New" w:hint="default"/>
      </w:rPr>
    </w:lvl>
    <w:lvl w:ilvl="8">
      <w:start w:val="1"/>
      <w:numFmt w:val="bullet"/>
      <w:lvlText w:val="▪"/>
      <w:lvlJc w:val="left"/>
      <w:pPr>
        <w:tabs>
          <w:tab w:val="num" w:pos="0"/>
        </w:tabs>
        <w:ind w:left="6378" w:hanging="360"/>
      </w:pPr>
      <w:rPr>
        <w:rFonts w:ascii="Noto Sans Symbols" w:hAnsi="Noto Sans Symbols" w:cs="Noto Sans Symbols" w:hint="default"/>
      </w:rPr>
    </w:lvl>
  </w:abstractNum>
  <w:abstractNum w:abstractNumId="1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w="http://schemas.openxmlformats.org/wordprocessingml/2006/main">
  <w:zoom w:percent="100"/>
  <w:embedTrueTypeFonts/>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sr-RS" w:eastAsia="en-GB"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b6b30"/>
    <w:pPr>
      <w:widowControl/>
      <w:suppressAutoHyphens w:val="true"/>
      <w:bidi w:val="0"/>
      <w:spacing w:lineRule="auto" w:line="259" w:before="0" w:after="160"/>
      <w:jc w:val="left"/>
    </w:pPr>
    <w:rPr>
      <w:rFonts w:ascii="Calibri" w:hAnsi="Calibri" w:eastAsia="Calibri" w:cs="Calibri"/>
      <w:color w:val="auto"/>
      <w:kern w:val="0"/>
      <w:sz w:val="22"/>
      <w:szCs w:val="22"/>
      <w:lang w:val="sr-RS" w:eastAsia="en-GB" w:bidi="ar-SA"/>
    </w:rPr>
  </w:style>
  <w:style w:type="paragraph" w:styleId="Heading1">
    <w:name w:val="heading 1"/>
    <w:basedOn w:val="Normal"/>
    <w:link w:val="Heading1Char"/>
    <w:uiPriority w:val="9"/>
    <w:qFormat/>
    <w:rsid w:val="006a2bc6"/>
    <w:pPr>
      <w:tabs>
        <w:tab w:val="clear" w:pos="720"/>
        <w:tab w:val="left" w:pos="360" w:leader="none"/>
      </w:tabs>
      <w:spacing w:lineRule="auto" w:line="240" w:beforeAutospacing="1" w:afterAutospacing="1"/>
      <w:outlineLvl w:val="0"/>
    </w:pPr>
    <w:rPr>
      <w:rFonts w:eastAsia="Times New Roman" w:cs="Calibri" w:cstheme="minorHAnsi"/>
      <w:bCs/>
      <w:color w:themeColor="accent5" w:themeShade="bf" w:val="2F5496"/>
      <w:kern w:val="2"/>
      <w:sz w:val="28"/>
      <w:szCs w:val="48"/>
    </w:rPr>
  </w:style>
  <w:style w:type="paragraph" w:styleId="Heading2">
    <w:name w:val="heading 2"/>
    <w:basedOn w:val="Normal"/>
    <w:next w:val="Normal"/>
    <w:link w:val="Heading2Char"/>
    <w:uiPriority w:val="9"/>
    <w:unhideWhenUsed/>
    <w:qFormat/>
    <w:rsid w:val="006a2bc6"/>
    <w:pPr>
      <w:keepNext w:val="true"/>
      <w:keepLines/>
      <w:spacing w:before="120" w:after="120"/>
      <w:outlineLvl w:val="1"/>
    </w:pPr>
    <w:rPr>
      <w:rFonts w:eastAsia="" w:cs="" w:cstheme="majorBidi" w:eastAsiaTheme="majorEastAsia"/>
      <w:color w:themeColor="accent5" w:themeShade="bf" w:val="2F5496"/>
      <w:sz w:val="26"/>
      <w:szCs w:val="26"/>
    </w:rPr>
  </w:style>
  <w:style w:type="paragraph" w:styleId="Heading3">
    <w:name w:val="heading 3"/>
    <w:basedOn w:val="Normal"/>
    <w:next w:val="Normal"/>
    <w:link w:val="Heading3Char"/>
    <w:uiPriority w:val="9"/>
    <w:semiHidden/>
    <w:unhideWhenUsed/>
    <w:qFormat/>
    <w:rsid w:val="00c71e70"/>
    <w:pPr>
      <w:keepNext w:val="true"/>
      <w:keepLines/>
      <w:spacing w:before="120" w:after="120"/>
      <w:outlineLvl w:val="2"/>
    </w:pPr>
    <w:rPr>
      <w:rFonts w:eastAsia="" w:cs="" w:cstheme="majorBidi" w:eastAsiaTheme="majorEastAsia"/>
      <w:b/>
      <w:color w:themeColor="accent5" w:themeShade="bf" w:val="2F5496"/>
      <w:sz w:val="24"/>
      <w:szCs w:val="24"/>
      <w:u w:val="single"/>
    </w:rPr>
  </w:style>
  <w:style w:type="paragraph" w:styleId="Heading4">
    <w:name w:val="heading 4"/>
    <w:basedOn w:val="Normal"/>
    <w:next w:val="Normal"/>
    <w:uiPriority w:val="9"/>
    <w:semiHidden/>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6a2bc6"/>
    <w:rPr>
      <w:rFonts w:eastAsia="Times New Roman" w:cs="Calibri" w:cstheme="minorHAnsi"/>
      <w:bCs/>
      <w:color w:themeColor="accent5" w:themeShade="bf" w:val="2F5496"/>
      <w:kern w:val="2"/>
      <w:sz w:val="28"/>
      <w:szCs w:val="48"/>
      <w:lang w:val="sr-RS"/>
    </w:rPr>
  </w:style>
  <w:style w:type="character" w:styleId="Hyperlink">
    <w:name w:val="Hyperlink"/>
    <w:basedOn w:val="DefaultParagraphFont"/>
    <w:uiPriority w:val="99"/>
    <w:unhideWhenUsed/>
    <w:rsid w:val="00f7283a"/>
    <w:rPr>
      <w:color w:val="0000FF"/>
      <w:u w:val="single"/>
    </w:rPr>
  </w:style>
  <w:style w:type="character" w:styleId="FollowedHyperlink">
    <w:name w:val="FollowedHyperlink"/>
    <w:basedOn w:val="DefaultParagraphFont"/>
    <w:uiPriority w:val="99"/>
    <w:semiHidden/>
    <w:unhideWhenUsed/>
    <w:rsid w:val="00f7283a"/>
    <w:rPr>
      <w:color w:val="800080"/>
      <w:u w:val="single"/>
    </w:rPr>
  </w:style>
  <w:style w:type="character" w:styleId="BalloonTextChar" w:customStyle="1">
    <w:name w:val="Balloon Text Char"/>
    <w:basedOn w:val="DefaultParagraphFont"/>
    <w:link w:val="BalloonText"/>
    <w:uiPriority w:val="99"/>
    <w:semiHidden/>
    <w:qFormat/>
    <w:rsid w:val="00f7283a"/>
    <w:rPr>
      <w:rFonts w:ascii="Segoe UI" w:hAnsi="Segoe UI" w:cs="Segoe UI"/>
      <w:sz w:val="18"/>
      <w:szCs w:val="18"/>
    </w:rPr>
  </w:style>
  <w:style w:type="character" w:styleId="Heading2Char" w:customStyle="1">
    <w:name w:val="Heading 2 Char"/>
    <w:basedOn w:val="DefaultParagraphFont"/>
    <w:link w:val="Heading2"/>
    <w:uiPriority w:val="9"/>
    <w:qFormat/>
    <w:rsid w:val="006a2bc6"/>
    <w:rPr>
      <w:rFonts w:eastAsia="" w:cs="" w:cstheme="majorBidi" w:eastAsiaTheme="majorEastAsia"/>
      <w:color w:themeColor="accent5" w:themeShade="bf" w:val="2F5496"/>
      <w:sz w:val="26"/>
      <w:szCs w:val="26"/>
    </w:rPr>
  </w:style>
  <w:style w:type="character" w:styleId="TitleChar" w:customStyle="1">
    <w:name w:val="Title Char"/>
    <w:basedOn w:val="DefaultParagraphFont"/>
    <w:link w:val="Title"/>
    <w:uiPriority w:val="10"/>
    <w:qFormat/>
    <w:rsid w:val="00ad7621"/>
    <w:rPr>
      <w:rFonts w:ascii="Calibri Light" w:hAnsi="Calibri Light" w:eastAsia="" w:cs="" w:asciiTheme="majorHAnsi" w:cstheme="majorBidi" w:eastAsiaTheme="majorEastAsia" w:hAnsiTheme="majorHAnsi"/>
      <w:spacing w:val="-10"/>
      <w:kern w:val="2"/>
      <w:sz w:val="56"/>
      <w:szCs w:val="56"/>
    </w:rPr>
  </w:style>
  <w:style w:type="character" w:styleId="material-icons-extended" w:customStyle="1">
    <w:name w:val="material-icons-extended"/>
    <w:basedOn w:val="DefaultParagraphFont"/>
    <w:qFormat/>
    <w:rsid w:val="00f74933"/>
    <w:rPr/>
  </w:style>
  <w:style w:type="character" w:styleId="UnresolvedMention1" w:customStyle="1">
    <w:name w:val="Unresolved Mention1"/>
    <w:basedOn w:val="DefaultParagraphFont"/>
    <w:uiPriority w:val="99"/>
    <w:semiHidden/>
    <w:unhideWhenUsed/>
    <w:qFormat/>
    <w:rsid w:val="00463ef8"/>
    <w:rPr>
      <w:color w:val="605E5C"/>
      <w:shd w:fill="E1DFDD" w:val="clear"/>
    </w:rPr>
  </w:style>
  <w:style w:type="character" w:styleId="HeaderChar" w:customStyle="1">
    <w:name w:val="Header Char"/>
    <w:basedOn w:val="DefaultParagraphFont"/>
    <w:link w:val="Header"/>
    <w:uiPriority w:val="99"/>
    <w:qFormat/>
    <w:rsid w:val="007639a3"/>
    <w:rPr/>
  </w:style>
  <w:style w:type="character" w:styleId="FooterChar" w:customStyle="1">
    <w:name w:val="Footer Char"/>
    <w:basedOn w:val="DefaultParagraphFont"/>
    <w:link w:val="Footer"/>
    <w:uiPriority w:val="99"/>
    <w:qFormat/>
    <w:rsid w:val="007639a3"/>
    <w:rPr/>
  </w:style>
  <w:style w:type="character" w:styleId="CommentReference">
    <w:name w:val="annotation reference"/>
    <w:basedOn w:val="DefaultParagraphFont"/>
    <w:uiPriority w:val="99"/>
    <w:semiHidden/>
    <w:unhideWhenUsed/>
    <w:qFormat/>
    <w:rsid w:val="0009338b"/>
    <w:rPr>
      <w:sz w:val="16"/>
      <w:szCs w:val="16"/>
    </w:rPr>
  </w:style>
  <w:style w:type="character" w:styleId="CommentTextChar" w:customStyle="1">
    <w:name w:val="Comment Text Char"/>
    <w:basedOn w:val="DefaultParagraphFont"/>
    <w:link w:val="CommentText"/>
    <w:uiPriority w:val="99"/>
    <w:qFormat/>
    <w:rsid w:val="0009338b"/>
    <w:rPr>
      <w:sz w:val="20"/>
      <w:szCs w:val="20"/>
    </w:rPr>
  </w:style>
  <w:style w:type="character" w:styleId="CommentSubjectChar" w:customStyle="1">
    <w:name w:val="Comment Subject Char"/>
    <w:basedOn w:val="CommentTextChar"/>
    <w:link w:val="annotationsubject"/>
    <w:uiPriority w:val="99"/>
    <w:semiHidden/>
    <w:qFormat/>
    <w:rsid w:val="0009338b"/>
    <w:rPr>
      <w:b/>
      <w:bCs/>
      <w:sz w:val="20"/>
      <w:szCs w:val="20"/>
    </w:rPr>
  </w:style>
  <w:style w:type="character" w:styleId="PlaceholderText">
    <w:name w:val="Placeholder Text"/>
    <w:basedOn w:val="DefaultParagraphFont"/>
    <w:uiPriority w:val="99"/>
    <w:semiHidden/>
    <w:qFormat/>
    <w:rsid w:val="00432a01"/>
    <w:rPr>
      <w:color w:val="808080"/>
    </w:rPr>
  </w:style>
  <w:style w:type="character" w:styleId="footnotedescriptionChar" w:customStyle="1">
    <w:name w:val="footnote description Char"/>
    <w:link w:val="footnotedescription"/>
    <w:qFormat/>
    <w:rsid w:val="00d7139c"/>
    <w:rPr>
      <w:rFonts w:ascii="Calibri" w:hAnsi="Calibri" w:eastAsia="Calibri" w:cs="Calibri"/>
      <w:color w:val="000000"/>
      <w:sz w:val="20"/>
    </w:rPr>
  </w:style>
  <w:style w:type="character" w:styleId="gd" w:customStyle="1">
    <w:name w:val="gd"/>
    <w:basedOn w:val="DefaultParagraphFont"/>
    <w:qFormat/>
    <w:rsid w:val="001e3eb2"/>
    <w:rPr/>
  </w:style>
  <w:style w:type="character" w:styleId="UnresolvedMention2" w:customStyle="1">
    <w:name w:val="Unresolved Mention2"/>
    <w:basedOn w:val="DefaultParagraphFont"/>
    <w:uiPriority w:val="99"/>
    <w:semiHidden/>
    <w:unhideWhenUsed/>
    <w:qFormat/>
    <w:rsid w:val="0043036e"/>
    <w:rPr>
      <w:color w:val="605E5C"/>
      <w:shd w:fill="E1DFDD" w:val="clear"/>
    </w:rPr>
  </w:style>
  <w:style w:type="character" w:styleId="Heading3Char" w:customStyle="1">
    <w:name w:val="Heading 3 Char"/>
    <w:basedOn w:val="DefaultParagraphFont"/>
    <w:link w:val="Heading3"/>
    <w:uiPriority w:val="9"/>
    <w:qFormat/>
    <w:rsid w:val="00c71e70"/>
    <w:rPr>
      <w:rFonts w:eastAsia="" w:cs="" w:cstheme="majorBidi" w:eastAsiaTheme="majorEastAsia"/>
      <w:b/>
      <w:color w:themeColor="accent5" w:themeShade="bf" w:val="2F5496"/>
      <w:sz w:val="24"/>
      <w:szCs w:val="24"/>
      <w:u w:val="single"/>
    </w:rPr>
  </w:style>
  <w:style w:type="character" w:styleId="Style1Char" w:customStyle="1">
    <w:name w:val="Style1 Char"/>
    <w:basedOn w:val="Heading3Char"/>
    <w:link w:val="Style11"/>
    <w:qFormat/>
    <w:rsid w:val="004f0198"/>
    <w:rPr>
      <w:rFonts w:ascii="Times New Roman" w:hAnsi="Times New Roman" w:eastAsia="Times New Roman" w:cs="" w:cstheme="majorBidi"/>
      <w:b w:val="false"/>
      <w:bCs/>
      <w:i/>
      <w:color w:themeColor="accent1" w:themeShade="bf" w:val="2E74B5"/>
      <w:kern w:val="2"/>
      <w:sz w:val="24"/>
      <w:szCs w:val="24"/>
      <w:u w:val="single"/>
    </w:rPr>
  </w:style>
  <w:style w:type="character" w:styleId="UnresolvedMention3" w:customStyle="1">
    <w:name w:val="Unresolved Mention3"/>
    <w:basedOn w:val="DefaultParagraphFont"/>
    <w:uiPriority w:val="99"/>
    <w:semiHidden/>
    <w:unhideWhenUsed/>
    <w:qFormat/>
    <w:rsid w:val="00825822"/>
    <w:rPr>
      <w:color w:val="605E5C"/>
      <w:shd w:fill="E1DFDD" w:val="clear"/>
    </w:rPr>
  </w:style>
  <w:style w:type="character" w:styleId="novicssslova" w:customStyle="1">
    <w:name w:val="novicssslova"/>
    <w:basedOn w:val="DefaultParagraphFont"/>
    <w:qFormat/>
    <w:rsid w:val="001e167d"/>
    <w:rPr/>
  </w:style>
  <w:style w:type="character" w:styleId="Strong">
    <w:name w:val="Strong"/>
    <w:basedOn w:val="DefaultParagraphFont"/>
    <w:uiPriority w:val="22"/>
    <w:qFormat/>
    <w:rsid w:val="001e167d"/>
    <w:rPr>
      <w:b/>
      <w:bCs/>
    </w:rPr>
  </w:style>
  <w:style w:type="character" w:styleId="CaptionChar" w:customStyle="1">
    <w:name w:val="Caption Char"/>
    <w:basedOn w:val="DefaultParagraphFont"/>
    <w:link w:val="Caption"/>
    <w:uiPriority w:val="99"/>
    <w:qFormat/>
    <w:rsid w:val="00577bf9"/>
    <w:rPr>
      <w:rFonts w:eastAsia="SimSun" w:cs="Mangal"/>
      <w:iCs/>
      <w:color w:val="00000A"/>
      <w:szCs w:val="24"/>
      <w:lang w:val="sr-Latn-CS" w:eastAsia="ar-SA"/>
    </w:rPr>
  </w:style>
  <w:style w:type="character" w:styleId="Style2Char" w:customStyle="1">
    <w:name w:val="Style2 Char"/>
    <w:basedOn w:val="CaptionChar"/>
    <w:link w:val="Style21"/>
    <w:qFormat/>
    <w:rsid w:val="009f61d1"/>
    <w:rPr>
      <w:rFonts w:ascii="Times New Roman" w:hAnsi="Times New Roman" w:eastAsia="SimSun" w:cs="Times New Roman"/>
      <w:i w:val="false"/>
      <w:iCs/>
      <w:color w:themeColor="accent5" w:themeShade="bf" w:val="2F5496"/>
      <w:sz w:val="24"/>
      <w:szCs w:val="24"/>
      <w:lang w:val="sr-Latn-CS" w:eastAsia="ar-SA"/>
    </w:rPr>
  </w:style>
  <w:style w:type="character" w:styleId="QuoteChar" w:customStyle="1">
    <w:name w:val="Quote Char"/>
    <w:basedOn w:val="DefaultParagraphFont"/>
    <w:link w:val="Quote"/>
    <w:uiPriority w:val="29"/>
    <w:qFormat/>
    <w:rsid w:val="00dc2512"/>
    <w:rPr>
      <w:i/>
      <w:iCs/>
      <w:color w:themeColor="text1" w:themeTint="bf" w:val="404040"/>
    </w:rPr>
  </w:style>
  <w:style w:type="character" w:styleId="UnresolvedMention4" w:customStyle="1">
    <w:name w:val="Unresolved Mention4"/>
    <w:basedOn w:val="DefaultParagraphFont"/>
    <w:uiPriority w:val="99"/>
    <w:semiHidden/>
    <w:unhideWhenUsed/>
    <w:qFormat/>
    <w:rsid w:val="000e60dc"/>
    <w:rPr>
      <w:color w:val="605E5C"/>
      <w:shd w:fill="E1DFDD" w:val="clear"/>
    </w:rPr>
  </w:style>
  <w:style w:type="character" w:styleId="auto-style2" w:customStyle="1">
    <w:name w:val="auto-style2"/>
    <w:basedOn w:val="DefaultParagraphFont"/>
    <w:qFormat/>
    <w:rsid w:val="007d506b"/>
    <w:rPr/>
  </w:style>
  <w:style w:type="character" w:styleId="UnresolvedMention5" w:customStyle="1">
    <w:name w:val="Unresolved Mention5"/>
    <w:basedOn w:val="DefaultParagraphFont"/>
    <w:uiPriority w:val="99"/>
    <w:semiHidden/>
    <w:unhideWhenUsed/>
    <w:qFormat/>
    <w:rsid w:val="00135a44"/>
    <w:rPr>
      <w:color w:val="605E5C"/>
      <w:shd w:fill="E1DFDD" w:val="clear"/>
    </w:rPr>
  </w:style>
  <w:style w:type="character" w:styleId="naslovpropisa1" w:customStyle="1">
    <w:name w:val="naslovpropisa1"/>
    <w:basedOn w:val="DefaultParagraphFont"/>
    <w:qFormat/>
    <w:rsid w:val="00e86c67"/>
    <w:rPr/>
  </w:style>
  <w:style w:type="character" w:styleId="naslovpropisa1a" w:customStyle="1">
    <w:name w:val="naslovpropisa1a"/>
    <w:basedOn w:val="DefaultParagraphFont"/>
    <w:qFormat/>
    <w:rsid w:val="00e86c67"/>
    <w:rPr/>
  </w:style>
  <w:style w:type="character" w:styleId="ListParagraphChar" w:customStyle="1">
    <w:name w:val="List Paragraph Char"/>
    <w:link w:val="ListParagraph"/>
    <w:uiPriority w:val="34"/>
    <w:qFormat/>
    <w:locked/>
    <w:rsid w:val="00577bf9"/>
    <w:rPr/>
  </w:style>
  <w:style w:type="character" w:styleId="FootnoteTextChar" w:customStyle="1">
    <w:name w:val="Footnote Text Char"/>
    <w:basedOn w:val="DefaultParagraphFont"/>
    <w:link w:val="FootnoteText"/>
    <w:uiPriority w:val="99"/>
    <w:semiHidden/>
    <w:qFormat/>
    <w:rsid w:val="00276e33"/>
    <w:rPr>
      <w:sz w:val="20"/>
      <w:szCs w:val="20"/>
    </w:rPr>
  </w:style>
  <w:style w:type="character" w:styleId="FootnoteCharactersuser">
    <w:name w:val="Footnote Characters (user)"/>
    <w:basedOn w:val="DefaultParagraphFont"/>
    <w:uiPriority w:val="99"/>
    <w:semiHidden/>
    <w:unhideWhenUsed/>
    <w:qFormat/>
    <w:rsid w:val="00276e33"/>
    <w:rPr>
      <w:vertAlign w:val="superscript"/>
    </w:rPr>
  </w:style>
  <w:style w:type="character" w:styleId="FootnoteCharacters">
    <w:name w:val="Footnote Characters"/>
    <w:qFormat/>
    <w:rPr>
      <w:vertAlign w:val="superscript"/>
    </w:rPr>
  </w:style>
  <w:style w:type="character" w:styleId="FootnoteReference">
    <w:name w:val="footnote reference"/>
    <w:rPr>
      <w:vertAlign w:val="superscript"/>
    </w:rPr>
  </w:style>
  <w:style w:type="character" w:styleId="UnresolvedMention6" w:customStyle="1">
    <w:name w:val="Unresolved Mention6"/>
    <w:basedOn w:val="DefaultParagraphFont"/>
    <w:uiPriority w:val="99"/>
    <w:semiHidden/>
    <w:unhideWhenUsed/>
    <w:qFormat/>
    <w:rsid w:val="00bb1197"/>
    <w:rPr>
      <w:color w:val="605E5C"/>
      <w:shd w:fill="E1DFDD" w:val="clear"/>
    </w:rPr>
  </w:style>
  <w:style w:type="character" w:styleId="NoSpacingChar" w:customStyle="1">
    <w:name w:val="No Spacing Char"/>
    <w:basedOn w:val="DefaultParagraphFont"/>
    <w:link w:val="NoSpacing"/>
    <w:uiPriority w:val="1"/>
    <w:qFormat/>
    <w:rsid w:val="00c71e70"/>
    <w:rPr>
      <w:lang w:val="en-GB"/>
    </w:rPr>
  </w:style>
  <w:style w:type="character" w:styleId="Hyperlink1" w:customStyle="1">
    <w:name w:val="Hyperlink.1"/>
    <w:qFormat/>
    <w:rsid w:val="00f44625"/>
    <w:rPr>
      <w:rFonts w:ascii="Calibri" w:hAnsi="Calibri" w:eastAsia="Calibri" w:cs="Calibri"/>
      <w:b/>
      <w:bCs/>
      <w:lang w:val="en-US"/>
    </w:rPr>
  </w:style>
  <w:style w:type="character" w:styleId="BodyTextChar" w:customStyle="1">
    <w:name w:val="Body Text Char"/>
    <w:basedOn w:val="DefaultParagraphFont"/>
    <w:uiPriority w:val="1"/>
    <w:qFormat/>
    <w:rsid w:val="00b25206"/>
    <w:rPr>
      <w:rFonts w:ascii="Calibri" w:hAnsi="Calibri" w:eastAsia="Calibri" w:cs="Calibri"/>
      <w:sz w:val="21"/>
      <w:szCs w:val="21"/>
    </w:rPr>
  </w:style>
  <w:style w:type="character" w:styleId="UnresolvedMention7" w:customStyle="1">
    <w:name w:val="Unresolved Mention7"/>
    <w:basedOn w:val="DefaultParagraphFont"/>
    <w:uiPriority w:val="99"/>
    <w:semiHidden/>
    <w:unhideWhenUsed/>
    <w:qFormat/>
    <w:rsid w:val="00051e8a"/>
    <w:rPr>
      <w:color w:val="605E5C"/>
      <w:shd w:fill="E1DFDD" w:val="clear"/>
    </w:rPr>
  </w:style>
  <w:style w:type="character" w:styleId="Emphasis">
    <w:name w:val="Emphasis"/>
    <w:basedOn w:val="DefaultParagraphFont"/>
    <w:uiPriority w:val="20"/>
    <w:qFormat/>
    <w:rsid w:val="000c6991"/>
    <w:rPr>
      <w:i/>
      <w:iCs/>
    </w:rPr>
  </w:style>
  <w:style w:type="character" w:styleId="tablecellstringl3lhc" w:customStyle="1">
    <w:name w:val="tablecell_string__l3lhc"/>
    <w:basedOn w:val="DefaultParagraphFont"/>
    <w:qFormat/>
    <w:rsid w:val="00c23c9a"/>
    <w:rPr/>
  </w:style>
  <w:style w:type="character" w:styleId="UnresolvedMention">
    <w:name w:val="Unresolved Mention"/>
    <w:basedOn w:val="DefaultParagraphFont"/>
    <w:uiPriority w:val="99"/>
    <w:semiHidden/>
    <w:unhideWhenUsed/>
    <w:qFormat/>
    <w:rsid w:val="005e4974"/>
    <w:rPr>
      <w:color w:val="605E5C"/>
      <w:shd w:fill="E1DFDD" w:val="clear"/>
    </w:rPr>
  </w:style>
  <w:style w:type="character" w:styleId="IndexLink">
    <w:name w:val="Index Link"/>
    <w:qFormat/>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link w:val="BodyTextChar"/>
    <w:uiPriority w:val="1"/>
    <w:qFormat/>
    <w:rsid w:val="00b25206"/>
    <w:pPr>
      <w:widowControl w:val="false"/>
      <w:spacing w:lineRule="auto" w:line="240" w:before="0" w:after="0"/>
    </w:pPr>
    <w:rPr>
      <w:sz w:val="21"/>
      <w:szCs w:val="21"/>
    </w:rPr>
  </w:style>
  <w:style w:type="paragraph" w:styleId="List">
    <w:name w:val="List"/>
    <w:basedOn w:val="BodyText"/>
    <w:pPr/>
    <w:rPr>
      <w:rFonts w:cs="Lucida Sans"/>
    </w:rPr>
  </w:style>
  <w:style w:type="paragraph" w:styleId="Caption">
    <w:name w:val="caption"/>
    <w:basedOn w:val="Normal"/>
    <w:link w:val="CaptionChar"/>
    <w:uiPriority w:val="99"/>
    <w:qFormat/>
    <w:rsid w:val="00577bf9"/>
    <w:pPr>
      <w:suppressLineNumbers/>
      <w:suppressAutoHyphens w:val="true"/>
      <w:spacing w:lineRule="auto" w:line="240" w:before="120" w:after="120"/>
    </w:pPr>
    <w:rPr>
      <w:rFonts w:eastAsia="SimSun" w:cs="Mangal"/>
      <w:iCs/>
      <w:color w:val="00000A"/>
      <w:szCs w:val="24"/>
      <w:lang w:val="sr-Latn-CS" w:eastAsia="ar-SA"/>
    </w:rPr>
  </w:style>
  <w:style w:type="paragraph" w:styleId="Index">
    <w:name w:val="Index"/>
    <w:basedOn w:val="Normal"/>
    <w:qFormat/>
    <w:pPr>
      <w:suppressLineNumbers/>
    </w:pPr>
    <w:rPr>
      <w:rFonts w:cs="Lucida Sans"/>
    </w:rPr>
  </w:style>
  <w:style w:type="paragraph" w:styleId="Title">
    <w:name w:val="Title"/>
    <w:basedOn w:val="Normal"/>
    <w:next w:val="Normal"/>
    <w:link w:val="TitleChar"/>
    <w:uiPriority w:val="10"/>
    <w:qFormat/>
    <w:rsid w:val="00ad7621"/>
    <w:pPr>
      <w:spacing w:lineRule="auto" w:line="240" w:before="0" w:after="0"/>
      <w:contextualSpacing/>
    </w:pPr>
    <w:rPr>
      <w:rFonts w:ascii="Calibri Light" w:hAnsi="Calibri Light" w:eastAsia="" w:cs="" w:asciiTheme="majorHAnsi" w:cstheme="majorBidi" w:eastAsiaTheme="majorEastAsia" w:hAnsiTheme="majorHAnsi"/>
      <w:spacing w:val="-10"/>
      <w:kern w:val="2"/>
      <w:sz w:val="56"/>
      <w:szCs w:val="56"/>
    </w:rPr>
  </w:style>
  <w:style w:type="paragraph" w:styleId="msonormal" w:customStyle="1">
    <w:name w:val="msonormal"/>
    <w:basedOn w:val="Normal"/>
    <w:qFormat/>
    <w:rsid w:val="00f7283a"/>
    <w:pPr>
      <w:spacing w:lineRule="auto" w:line="240" w:beforeAutospacing="1" w:afterAutospacing="1"/>
    </w:pPr>
    <w:rPr>
      <w:rFonts w:ascii="Times New Roman" w:hAnsi="Times New Roman" w:eastAsia="Times New Roman" w:cs="Times New Roman"/>
      <w:sz w:val="24"/>
      <w:szCs w:val="24"/>
    </w:rPr>
  </w:style>
  <w:style w:type="paragraph" w:styleId="NormalWeb">
    <w:name w:val="Normal (Web)"/>
    <w:basedOn w:val="Normal"/>
    <w:uiPriority w:val="99"/>
    <w:semiHidden/>
    <w:unhideWhenUsed/>
    <w:qFormat/>
    <w:rsid w:val="00f7283a"/>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f7283a"/>
    <w:pPr>
      <w:spacing w:lineRule="auto" w:line="240" w:before="0" w:after="0"/>
    </w:pPr>
    <w:rPr>
      <w:rFonts w:ascii="Segoe UI" w:hAnsi="Segoe UI" w:cs="Segoe UI"/>
      <w:sz w:val="18"/>
      <w:szCs w:val="18"/>
    </w:rPr>
  </w:style>
  <w:style w:type="paragraph" w:styleId="ListParagraph">
    <w:name w:val="List Paragraph"/>
    <w:basedOn w:val="Normal"/>
    <w:link w:val="ListParagraphChar"/>
    <w:uiPriority w:val="34"/>
    <w:qFormat/>
    <w:rsid w:val="00f23015"/>
    <w:pPr>
      <w:spacing w:before="0" w:after="160"/>
      <w:ind w:left="720"/>
      <w:contextualSpacing/>
    </w:pPr>
    <w:rPr/>
  </w:style>
  <w:style w:type="paragraph" w:styleId="Default" w:customStyle="1">
    <w:name w:val="Default"/>
    <w:qFormat/>
    <w:rsid w:val="00221337"/>
    <w:pPr>
      <w:widowControl/>
      <w:suppressAutoHyphens w:val="true"/>
      <w:bidi w:val="0"/>
      <w:spacing w:lineRule="auto" w:line="240" w:before="0" w:after="0"/>
      <w:jc w:val="left"/>
    </w:pPr>
    <w:rPr>
      <w:rFonts w:ascii="Calibri" w:hAnsi="Calibri" w:eastAsia="Calibri" w:cs="Calibri"/>
      <w:color w:val="000000"/>
      <w:kern w:val="0"/>
      <w:sz w:val="24"/>
      <w:szCs w:val="24"/>
      <w:lang w:val="sr-RS" w:eastAsia="en-GB" w:bidi="ar-SA"/>
    </w:rPr>
  </w:style>
  <w:style w:type="paragraph" w:styleId="HeaderandFooter">
    <w:name w:val="Header and Footer"/>
    <w:basedOn w:val="Normal"/>
    <w:qFormat/>
    <w:pPr/>
    <w:rPr/>
  </w:style>
  <w:style w:type="paragraph" w:styleId="Header">
    <w:name w:val="header"/>
    <w:basedOn w:val="Normal"/>
    <w:link w:val="HeaderChar"/>
    <w:uiPriority w:val="99"/>
    <w:unhideWhenUsed/>
    <w:rsid w:val="007639a3"/>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639a3"/>
    <w:pPr>
      <w:numPr>
        <w:ilvl w:val="0"/>
        <w:numId w:val="3"/>
      </w:numPr>
      <w:tabs>
        <w:tab w:val="clear" w:pos="720"/>
        <w:tab w:val="center" w:pos="4680" w:leader="none"/>
        <w:tab w:val="right" w:pos="9360" w:leader="none"/>
      </w:tabs>
      <w:spacing w:lineRule="auto" w:line="240" w:before="0" w:after="0"/>
    </w:pPr>
    <w:rPr/>
  </w:style>
  <w:style w:type="paragraph" w:styleId="IndexHeading">
    <w:name w:val="index heading"/>
    <w:basedOn w:val="Heading"/>
    <w:pPr/>
    <w:rPr/>
  </w:style>
  <w:style w:type="paragraph" w:styleId="TOCHeading">
    <w:name w:val="TOC Heading"/>
    <w:basedOn w:val="Heading1"/>
    <w:next w:val="Normal"/>
    <w:uiPriority w:val="39"/>
    <w:unhideWhenUsed/>
    <w:qFormat/>
    <w:rsid w:val="007639a3"/>
    <w:pPr>
      <w:keepNext w:val="true"/>
      <w:keepLines/>
      <w:numPr>
        <w:ilvl w:val="0"/>
        <w:numId w:val="1"/>
      </w:numPr>
      <w:spacing w:lineRule="auto" w:line="259" w:beforeAutospacing="0" w:before="240" w:afterAutospacing="0" w:after="0"/>
      <w:outlineLvl w:val="9"/>
    </w:pPr>
    <w:rPr>
      <w:rFonts w:ascii="Calibri Light" w:hAnsi="Calibri Light" w:eastAsia="" w:cs="" w:asciiTheme="majorHAnsi" w:cstheme="majorBidi" w:eastAsiaTheme="majorEastAsia" w:hAnsiTheme="majorHAnsi"/>
      <w:b/>
      <w:bCs w:val="false"/>
      <w:color w:themeColor="accent1" w:themeShade="bf" w:val="2E74B5"/>
      <w:kern w:val="0"/>
      <w:sz w:val="32"/>
      <w:szCs w:val="32"/>
    </w:rPr>
  </w:style>
  <w:style w:type="paragraph" w:styleId="TOC1">
    <w:name w:val="toc 1"/>
    <w:basedOn w:val="Normal"/>
    <w:next w:val="Normal"/>
    <w:autoRedefine/>
    <w:uiPriority w:val="39"/>
    <w:unhideWhenUsed/>
    <w:rsid w:val="00c7555d"/>
    <w:pPr>
      <w:tabs>
        <w:tab w:val="clear" w:pos="720"/>
        <w:tab w:val="left" w:pos="440" w:leader="none"/>
        <w:tab w:val="right" w:pos="10070" w:leader="dot"/>
      </w:tabs>
      <w:spacing w:before="0" w:after="100"/>
    </w:pPr>
    <w:rPr/>
  </w:style>
  <w:style w:type="paragraph" w:styleId="TOC2">
    <w:name w:val="toc 2"/>
    <w:basedOn w:val="Normal"/>
    <w:next w:val="Normal"/>
    <w:autoRedefine/>
    <w:uiPriority w:val="39"/>
    <w:unhideWhenUsed/>
    <w:rsid w:val="007639a3"/>
    <w:pPr>
      <w:spacing w:before="0" w:after="100"/>
      <w:ind w:left="220"/>
    </w:pPr>
    <w:rPr/>
  </w:style>
  <w:style w:type="paragraph" w:styleId="CommentText">
    <w:name w:val="annotation text"/>
    <w:basedOn w:val="Normal"/>
    <w:link w:val="CommentTextChar"/>
    <w:uiPriority w:val="99"/>
    <w:unhideWhenUsed/>
    <w:rsid w:val="0009338b"/>
    <w:pPr>
      <w:spacing w:lineRule="auto" w:line="240"/>
    </w:pPr>
    <w:rPr>
      <w:sz w:val="20"/>
      <w:szCs w:val="20"/>
    </w:rPr>
  </w:style>
  <w:style w:type="paragraph" w:styleId="annotationsubject">
    <w:name w:val="annotation subject"/>
    <w:basedOn w:val="CommentText"/>
    <w:next w:val="CommentText"/>
    <w:link w:val="CommentSubjectChar"/>
    <w:uiPriority w:val="99"/>
    <w:semiHidden/>
    <w:unhideWhenUsed/>
    <w:qFormat/>
    <w:rsid w:val="0009338b"/>
    <w:pPr/>
    <w:rPr>
      <w:b/>
      <w:bCs/>
    </w:rPr>
  </w:style>
  <w:style w:type="paragraph" w:styleId="NoSpacing">
    <w:name w:val="No Spacing"/>
    <w:link w:val="NoSpacingChar"/>
    <w:uiPriority w:val="1"/>
    <w:qFormat/>
    <w:rsid w:val="00432a01"/>
    <w:pPr>
      <w:widowControl/>
      <w:suppressAutoHyphens w:val="true"/>
      <w:bidi w:val="0"/>
      <w:spacing w:lineRule="auto" w:line="240" w:before="0" w:after="0"/>
      <w:jc w:val="left"/>
    </w:pPr>
    <w:rPr>
      <w:rFonts w:ascii="Calibri" w:hAnsi="Calibri" w:eastAsia="Calibri" w:cs="Calibri"/>
      <w:color w:val="auto"/>
      <w:kern w:val="0"/>
      <w:sz w:val="22"/>
      <w:szCs w:val="22"/>
      <w:lang w:val="en-GB" w:eastAsia="en-GB" w:bidi="ar-SA"/>
    </w:rPr>
  </w:style>
  <w:style w:type="paragraph" w:styleId="footnotedescription" w:customStyle="1">
    <w:name w:val="footnote description"/>
    <w:next w:val="Normal"/>
    <w:link w:val="footnotedescriptionChar"/>
    <w:qFormat/>
    <w:rsid w:val="00d7139c"/>
    <w:pPr>
      <w:widowControl/>
      <w:suppressAutoHyphens w:val="true"/>
      <w:bidi w:val="0"/>
      <w:spacing w:lineRule="auto" w:line="259" w:before="0" w:after="0"/>
      <w:jc w:val="left"/>
    </w:pPr>
    <w:rPr>
      <w:rFonts w:ascii="Calibri" w:hAnsi="Calibri" w:eastAsia="Calibri" w:cs="Calibri"/>
      <w:color w:val="000000"/>
      <w:kern w:val="0"/>
      <w:sz w:val="20"/>
      <w:szCs w:val="22"/>
      <w:lang w:val="sr-RS" w:eastAsia="en-GB" w:bidi="ar-SA"/>
    </w:rPr>
  </w:style>
  <w:style w:type="paragraph" w:styleId="Revision">
    <w:name w:val="Revision"/>
    <w:uiPriority w:val="99"/>
    <w:semiHidden/>
    <w:qFormat/>
    <w:rsid w:val="00ae0875"/>
    <w:pPr>
      <w:widowControl/>
      <w:suppressAutoHyphens w:val="true"/>
      <w:bidi w:val="0"/>
      <w:spacing w:lineRule="auto" w:line="240" w:before="0" w:after="0"/>
      <w:jc w:val="left"/>
    </w:pPr>
    <w:rPr>
      <w:rFonts w:ascii="Calibri" w:hAnsi="Calibri" w:eastAsia="Calibri" w:cs="Calibri"/>
      <w:color w:val="auto"/>
      <w:kern w:val="0"/>
      <w:sz w:val="22"/>
      <w:szCs w:val="22"/>
      <w:lang w:val="sr-RS" w:eastAsia="en-GB" w:bidi="ar-SA"/>
    </w:rPr>
  </w:style>
  <w:style w:type="paragraph" w:styleId="xmsolistparagraph" w:customStyle="1">
    <w:name w:val="x_msolistparagraph"/>
    <w:basedOn w:val="Normal"/>
    <w:qFormat/>
    <w:rsid w:val="00826f22"/>
    <w:pPr>
      <w:spacing w:lineRule="auto" w:line="240" w:beforeAutospacing="1" w:afterAutospacing="1"/>
    </w:pPr>
    <w:rPr/>
  </w:style>
  <w:style w:type="paragraph" w:styleId="Style11" w:customStyle="1">
    <w:name w:val="Style1"/>
    <w:basedOn w:val="Heading3"/>
    <w:link w:val="Style1Char"/>
    <w:qFormat/>
    <w:rsid w:val="004f0198"/>
    <w:pPr/>
    <w:rPr>
      <w:rFonts w:eastAsia="Times New Roman"/>
      <w:b w:val="false"/>
      <w:bCs/>
      <w:i/>
      <w:kern w:val="2"/>
    </w:rPr>
  </w:style>
  <w:style w:type="paragraph" w:styleId="TOC3">
    <w:name w:val="toc 3"/>
    <w:basedOn w:val="Normal"/>
    <w:next w:val="Normal"/>
    <w:autoRedefine/>
    <w:uiPriority w:val="39"/>
    <w:unhideWhenUsed/>
    <w:rsid w:val="00573fc3"/>
    <w:pPr>
      <w:spacing w:before="0" w:after="100"/>
      <w:ind w:left="440"/>
    </w:pPr>
    <w:rPr/>
  </w:style>
  <w:style w:type="paragraph" w:styleId="style17" w:customStyle="1">
    <w:name w:val="style17"/>
    <w:basedOn w:val="Normal"/>
    <w:qFormat/>
    <w:rsid w:val="001e167d"/>
    <w:pPr>
      <w:spacing w:lineRule="auto" w:line="240" w:beforeAutospacing="1" w:afterAutospacing="1"/>
    </w:pPr>
    <w:rPr>
      <w:rFonts w:ascii="Times New Roman" w:hAnsi="Times New Roman" w:eastAsia="Times New Roman" w:cs="Times New Roman"/>
      <w:sz w:val="24"/>
      <w:szCs w:val="24"/>
    </w:rPr>
  </w:style>
  <w:style w:type="paragraph" w:styleId="Style21" w:customStyle="1">
    <w:name w:val="Style2"/>
    <w:basedOn w:val="Caption"/>
    <w:link w:val="Style2Char"/>
    <w:qFormat/>
    <w:rsid w:val="009f61d1"/>
    <w:pPr>
      <w:jc w:val="center"/>
    </w:pPr>
    <w:rPr>
      <w:rFonts w:ascii="Times New Roman" w:hAnsi="Times New Roman" w:cs="Times New Roman"/>
      <w:color w:themeColor="accent5" w:themeShade="bf" w:val="2F5496"/>
    </w:rPr>
  </w:style>
  <w:style w:type="paragraph" w:styleId="Quote">
    <w:name w:val="Quote"/>
    <w:basedOn w:val="Normal"/>
    <w:next w:val="Normal"/>
    <w:link w:val="QuoteChar"/>
    <w:uiPriority w:val="29"/>
    <w:qFormat/>
    <w:rsid w:val="00dc2512"/>
    <w:pPr>
      <w:spacing w:before="200" w:after="160"/>
      <w:ind w:left="864" w:right="864"/>
      <w:jc w:val="center"/>
    </w:pPr>
    <w:rPr>
      <w:i/>
      <w:iCs/>
      <w:color w:themeColor="text1" w:themeTint="bf" w:val="404040"/>
    </w:rPr>
  </w:style>
  <w:style w:type="paragraph" w:styleId="FootnoteText">
    <w:name w:val="footnote text"/>
    <w:basedOn w:val="Normal"/>
    <w:link w:val="FootnoteTextChar"/>
    <w:uiPriority w:val="99"/>
    <w:semiHidden/>
    <w:unhideWhenUsed/>
    <w:rsid w:val="00276e33"/>
    <w:pPr>
      <w:spacing w:lineRule="auto" w:line="240" w:before="0" w:after="0"/>
    </w:pPr>
    <w:rPr>
      <w:sz w:val="20"/>
      <w:szCs w:val="20"/>
    </w:rPr>
  </w:style>
  <w:style w:type="paragraph" w:styleId="BodyA" w:customStyle="1">
    <w:name w:val="Body A"/>
    <w:qFormat/>
    <w:rsid w:val="00f44625"/>
    <w:pPr>
      <w:widowControl/>
      <w:suppressAutoHyphens w:val="true"/>
      <w:bidi w:val="0"/>
      <w:spacing w:lineRule="auto" w:line="276" w:before="120" w:after="120"/>
      <w:jc w:val="both"/>
    </w:pPr>
    <w:rPr>
      <w:rFonts w:ascii="Calibri" w:hAnsi="Calibri" w:eastAsia="Calibri" w:cs="Calibri"/>
      <w:color w:val="000000"/>
      <w:kern w:val="0"/>
      <w:sz w:val="22"/>
      <w:szCs w:val="22"/>
      <w:u w:val="none" w:color="000000"/>
      <w:lang w:val="sr-RS" w:eastAsia="mk-MK" w:bidi="ar-SA"/>
    </w:rPr>
  </w:style>
  <w:style w:type="paragraph" w:styleId="TableParagraph" w:customStyle="1">
    <w:name w:val="Table Paragraph"/>
    <w:basedOn w:val="Normal"/>
    <w:uiPriority w:val="1"/>
    <w:qFormat/>
    <w:rsid w:val="00b25206"/>
    <w:pPr>
      <w:widowControl w:val="false"/>
      <w:spacing w:lineRule="auto" w:line="240" w:before="0" w:after="0"/>
      <w:ind w:left="118"/>
    </w:pPr>
    <w:rPr/>
  </w:style>
  <w:style w:type="paragraph" w:styleId="Char2CharCharChar" w:customStyle="1">
    <w:name w:val="Char2 Char Char Char"/>
    <w:basedOn w:val="Normal"/>
    <w:qFormat/>
    <w:rsid w:val="002f5406"/>
    <w:pPr>
      <w:spacing w:lineRule="exact" w:line="240"/>
    </w:pPr>
    <w:rPr>
      <w:rFonts w:ascii="Arial" w:hAnsi="Arial" w:eastAsia="Times New Roman" w:cs="Arial"/>
      <w:sz w:val="20"/>
      <w:szCs w:val="20"/>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FrameContentsuser">
    <w:name w:val="Frame Contents (user)"/>
    <w:basedOn w:val="Normal"/>
    <w:qFormat/>
    <w:pPr/>
    <w:rPr/>
  </w:style>
  <w:style w:type="paragraph" w:styleId="TOC4">
    <w:name w:val="toc 4"/>
    <w:basedOn w:val="Index"/>
    <w:pPr/>
    <w:rPr/>
  </w:style>
  <w:style w:type="paragraph" w:styleId="TOC5">
    <w:name w:val="toc 5"/>
    <w:basedOn w:val="Index"/>
    <w:pPr/>
    <w:rPr/>
  </w:style>
  <w:style w:type="paragraph" w:styleId="TOC6">
    <w:name w:val="toc 6"/>
    <w:basedOn w:val="Index"/>
    <w:pPr/>
    <w:rPr/>
  </w:style>
  <w:style w:type="paragraph" w:styleId="TOC7">
    <w:name w:val="toc 7"/>
    <w:basedOn w:val="Index"/>
    <w:pPr/>
    <w:rPr/>
  </w:style>
  <w:style w:type="paragraph" w:styleId="TOC8">
    <w:name w:val="toc 8"/>
    <w:basedOn w:val="Index"/>
    <w:pPr/>
    <w:rPr/>
  </w:style>
  <w:style w:type="paragraph" w:styleId="TOC9">
    <w:name w:val="toc 9"/>
    <w:basedOn w:val="Index"/>
    <w:pPr/>
    <w:rPr/>
  </w:style>
  <w:style w:type="paragraph" w:styleId="HeaderLeftuser">
    <w:name w:val="Header Left (user)"/>
    <w:basedOn w:val="Header"/>
    <w:qFormat/>
    <w:pPr/>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customStyle="1" w:styleId="GridTable1Light-Accent51">
    <w:name w:val="Grid Table 1 Light - Accent 51"/>
    <w:basedOn w:val="TableNormal"/>
    <w:uiPriority w:val="46"/>
    <w:rsid w:val="00fa6dc9"/>
    <w:pPr>
      <w:spacing w:after="0" w:line="240" w:lineRule="auto"/>
    </w:pPr>
    <w:tblPr>
      <w:tblStyleRowBandSize w:val="1"/>
      <w:tblStyleColBandSize w:val="1"/>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blStylePr w:type="firstRow">
      <w:rPr>
        <w:b/>
        <w:bCs/>
      </w:rPr>
      <w:tblPr/>
      <w:tcPr>
        <w:tcBorders>
          <w:bottom w:val="single" w:color="8EAADB" w:themeColor="accent5" w:sz="12" w:space="0"/>
        </w:tcBorders>
      </w:tcPr>
    </w:tblStylePr>
    <w:tblStylePr w:type="lastRow">
      <w:rPr>
        <w:b/>
        <w:bCs/>
      </w:rPr>
      <w:tblPr/>
      <w:tcPr>
        <w:tcBorders>
          <w:top w:val="double" w:color="8EAADB" w:themeColor="accent5" w:sz="2" w:space="0"/>
        </w:tcBorders>
      </w:tcPr>
    </w:tblStylePr>
    <w:tblStylePr w:type="firstCol">
      <w:rPr>
        <w:b/>
        <w:bCs/>
      </w:rPr>
      <w:tblPr/>
    </w:tblStylePr>
    <w:tblStylePr w:type="lastCol">
      <w:rPr>
        <w:b/>
        <w:bCs/>
      </w:rPr>
      <w:tblPr/>
    </w:tblStylePr>
  </w:style>
  <w:style w:type="table" w:styleId="TableGrid">
    <w:name w:val="Table Grid"/>
    <w:basedOn w:val="TableNormal"/>
    <w:uiPriority w:val="59"/>
    <w:rsid w:val="00432a01"/>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GridTable1Light1">
    <w:name w:val="Grid Table 1 Light1"/>
    <w:basedOn w:val="TableNormal"/>
    <w:uiPriority w:val="46"/>
    <w:rsid w:val="009f61d1"/>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sz="12" w:space="0"/>
        </w:tcBorders>
      </w:tcPr>
    </w:tblStylePr>
    <w:tblStylePr w:type="lastRow">
      <w:rPr>
        <w:b/>
        <w:bCs/>
      </w:rPr>
      <w:tblPr/>
      <w:tcPr>
        <w:tcBorders>
          <w:top w:val="double" w:color="666666" w:themeColor="text1" w:sz="2" w:space="0"/>
        </w:tcBorders>
      </w:tcPr>
    </w:tblStylePr>
    <w:tblStylePr w:type="firstCol">
      <w:rPr>
        <w:b/>
        <w:bCs/>
      </w:rPr>
      <w:tblPr/>
    </w:tblStylePr>
    <w:tblStylePr w:type="lastCol">
      <w:rPr>
        <w:b/>
        <w:bCs/>
      </w:rPr>
      <w:tblPr/>
    </w:tblStylePr>
  </w:style>
  <w:style w:type="table" w:customStyle="1" w:styleId="GridTable1Light-Accent61">
    <w:name w:val="Grid Table 1 Light - Accent 61"/>
    <w:basedOn w:val="TableNormal"/>
    <w:uiPriority w:val="46"/>
    <w:rsid w:val="007d506b"/>
    <w:pPr>
      <w:spacing w:after="0" w:line="240" w:lineRule="auto"/>
    </w:pPr>
    <w:tblPr>
      <w:tblStyleRowBandSize w:val="1"/>
      <w:tblStyleColBandSize w:val="1"/>
      <w:tblBorders>
        <w:top w:val="single" w:color="C5E0B3" w:themeColor="accent6" w:themeTint="66" w:sz="4" w:space="0"/>
        <w:left w:val="single" w:color="C5E0B3" w:themeColor="accent6" w:themeTint="66" w:sz="4" w:space="0"/>
        <w:bottom w:val="single" w:color="C5E0B3" w:themeColor="accent6" w:themeTint="66" w:sz="4" w:space="0"/>
        <w:right w:val="single" w:color="C5E0B3" w:themeColor="accent6" w:themeTint="66" w:sz="4" w:space="0"/>
        <w:insideH w:val="single" w:color="C5E0B3" w:themeColor="accent6" w:themeTint="66" w:sz="4" w:space="0"/>
        <w:insideV w:val="single" w:color="C5E0B3" w:themeColor="accent6" w:themeTint="66" w:sz="4" w:space="0"/>
      </w:tblBorders>
    </w:tblPr>
    <w:tblStylePr w:type="firstRow">
      <w:rPr>
        <w:b/>
        <w:bCs/>
      </w:rPr>
      <w:tblPr/>
      <w:tcPr>
        <w:tcBorders>
          <w:bottom w:val="single" w:color="A8D08D" w:themeColor="accent6" w:sz="12" w:space="0"/>
        </w:tcBorders>
      </w:tcPr>
    </w:tblStylePr>
    <w:tblStylePr w:type="lastRow">
      <w:rPr>
        <w:b/>
        <w:bCs/>
      </w:rPr>
      <w:tblPr/>
      <w:tcPr>
        <w:tcBorders>
          <w:top w:val="double" w:color="A8D08D" w:themeColor="accent6" w:sz="2" w:space="0"/>
        </w:tcBorders>
      </w:tcPr>
    </w:tblStylePr>
    <w:tblStylePr w:type="firstCol">
      <w:rPr>
        <w:b/>
        <w:bCs/>
      </w:rPr>
      <w:tblPr/>
    </w:tblStylePr>
    <w:tblStylePr w:type="lastCol">
      <w:rPr>
        <w:b/>
        <w:bCs/>
      </w:rPr>
      <w:tblPr/>
    </w:tblStylePr>
  </w:style>
  <w:style w:type="table" w:customStyle="1" w:styleId="GridTable7Colorful-Accent51">
    <w:name w:val="Grid Table 7 Colorful - Accent 51"/>
    <w:basedOn w:val="TableNormal"/>
    <w:uiPriority w:val="52"/>
    <w:rsid w:val="006a2bc6"/>
    <w:pPr>
      <w:spacing w:after="0" w:line="240" w:lineRule="auto"/>
    </w:pPr>
    <w:rPr>
      <w:color w:themeColor="accent5" w:themeShade="bf"/>
    </w:r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color="8EAADB" w:themeColor="accent5" w:sz="4" w:space="0"/>
        </w:tcBorders>
      </w:tcPr>
    </w:tblStylePr>
    <w:tblStylePr w:type="nwCell">
      <w:tblPr/>
      <w:tcPr>
        <w:tcBorders>
          <w:bottom w:val="single" w:color="8EAADB" w:themeColor="accent5" w:sz="4" w:space="0"/>
        </w:tcBorders>
      </w:tcPr>
    </w:tblStylePr>
    <w:tblStylePr w:type="seCell">
      <w:tblPr/>
      <w:tcPr>
        <w:tcBorders>
          <w:top w:val="single" w:color="8EAADB" w:themeColor="accent5" w:sz="4" w:space="0"/>
        </w:tcBorders>
      </w:tcPr>
    </w:tblStylePr>
    <w:tblStylePr w:type="swCell">
      <w:tblPr/>
      <w:tcPr>
        <w:tcBorders>
          <w:top w:val="single" w:color="8EAADB" w:themeColor="accent5" w:sz="4" w:space="0"/>
        </w:tcBorders>
      </w:tcPr>
    </w:tblStylePr>
  </w:style>
  <w:style w:type="table" w:customStyle="1" w:styleId="ListTable1Light-Accent11">
    <w:name w:val="List Table 1 Light - Accent 11"/>
    <w:basedOn w:val="TableNormal"/>
    <w:uiPriority w:val="46"/>
    <w:rsid w:val="006a2bc6"/>
    <w:pPr>
      <w:spacing w:after="0" w:line="240" w:lineRule="auto"/>
    </w:pPr>
    <w:tblPr>
      <w:tblStyleRowBandSize w:val="1"/>
      <w:tblStyleColBandSize w:val="1"/>
    </w:tblPr>
    <w:tblStylePr w:type="firstRow">
      <w:rPr>
        <w:b/>
        <w:bCs/>
      </w:rPr>
      <w:tblPr/>
      <w:tcPr>
        <w:tcBorders>
          <w:bottom w:val="single" w:color="9CC2E5" w:themeColor="accent1" w:sz="4" w:space="0"/>
        </w:tcBorders>
      </w:tcPr>
    </w:tblStylePr>
    <w:tblStylePr w:type="lastRow">
      <w:rPr>
        <w:b/>
        <w:bCs/>
      </w:rPr>
      <w:tblPr/>
      <w:tcPr>
        <w:tcBorders>
          <w:top w:val="single" w:color="9CC2E5" w:themeColor="accent1" w:sz="4" w:space="0"/>
        </w:tcBorders>
      </w:tcPr>
    </w:tblStylePr>
    <w:tblStylePr w:type="firstCol">
      <w:rPr>
        <w:b/>
        <w:bCs/>
      </w:rPr>
      <w:tblPr/>
    </w:tblStylePr>
    <w:tblStylePr w:type="lastCol">
      <w:rPr>
        <w:b/>
        <w:bCs/>
      </w:rPr>
      <w:tbl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
    <w:name w:val="List Table 2 - Accent 11"/>
    <w:basedOn w:val="TableNormal"/>
    <w:uiPriority w:val="47"/>
    <w:rsid w:val="006a2bc6"/>
    <w:pPr>
      <w:spacing w:after="0" w:line="240" w:lineRule="auto"/>
    </w:pPr>
    <w:tblPr>
      <w:tblStyleRowBandSize w:val="1"/>
      <w:tblStyleColBandSize w:val="1"/>
      <w:tblBorders>
        <w:top w:val="single" w:color="9CC2E5" w:themeColor="accent1" w:themeTint="99" w:sz="4" w:space="0"/>
        <w:bottom w:val="single" w:color="9CC2E5" w:themeColor="accent1" w:themeTint="99" w:sz="4" w:space="0"/>
        <w:insideH w:val="single" w:color="9CC2E5" w:themeColor="accent1" w:themeTint="99" w:sz="4" w:space="0"/>
      </w:tblBorders>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51">
    <w:name w:val="Grid Table 2 - Accent 51"/>
    <w:basedOn w:val="TableNormal"/>
    <w:uiPriority w:val="47"/>
    <w:rsid w:val="006a2bc6"/>
    <w:pPr>
      <w:spacing w:after="0" w:line="240" w:lineRule="auto"/>
    </w:pPr>
    <w:tblPr>
      <w:tblStyleRowBandSize w:val="1"/>
      <w:tblStyleColBandSize w:val="1"/>
      <w:tblBorders>
        <w:top w:val="single" w:color="8EAADB" w:themeColor="accent5" w:themeTint="99" w:sz="2" w:space="0"/>
        <w:bottom w:val="single" w:color="8EAADB" w:themeColor="accent5" w:themeTint="99" w:sz="2" w:space="0"/>
        <w:insideH w:val="single" w:color="8EAADB" w:themeColor="accent5" w:themeTint="99" w:sz="2" w:space="0"/>
        <w:insideV w:val="single" w:color="8EAADB" w:themeColor="accent5" w:themeTint="99" w:sz="2" w:space="0"/>
      </w:tblBorders>
    </w:tblPr>
    <w:tblStylePr w:type="firstRow">
      <w:rPr>
        <w:b/>
        <w:bCs/>
      </w:rPr>
      <w:tblPr/>
      <w:tcPr>
        <w:tcBorders>
          <w:top w:val="nil"/>
          <w:bottom w:val="single" w:color="8EAADB" w:themeColor="accent5" w:sz="12" w:space="0"/>
          <w:insideH w:val="nil"/>
          <w:insideV w:val="nil"/>
        </w:tcBorders>
        <w:shd w:val="clear" w:color="auto" w:fill="FFFFFF" w:themeFill="background1"/>
      </w:tcPr>
    </w:tblStylePr>
    <w:tblStylePr w:type="lastRow">
      <w:rPr>
        <w:b/>
        <w:bCs/>
      </w:rPr>
      <w:tblPr/>
      <w:tcPr>
        <w:tcBorders>
          <w:top w:val="double" w:color="8EAADB" w:themeColor="accent5" w:sz="2" w:space="0"/>
          <w:bottom w:val="nil"/>
          <w:insideH w:val="nil"/>
          <w:insideV w:val="nil"/>
        </w:tcBorders>
        <w:shd w:val="clear" w:color="auto" w:fill="FFFFFF" w:themeFill="background1"/>
      </w:tcPr>
    </w:tblStylePr>
    <w:tblStylePr w:type="firstCol">
      <w:rPr>
        <w:b/>
        <w:bCs/>
      </w:rPr>
      <w:tblPr/>
    </w:tblStylePr>
    <w:tblStylePr w:type="lastCol">
      <w:rPr>
        <w:b/>
        <w:bCs/>
      </w:rPr>
      <w:tbl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52">
    <w:name w:val="Grid Table 1 Light - Accent 52"/>
    <w:basedOn w:val="TableNormal"/>
    <w:uiPriority w:val="46"/>
    <w:rsid w:val="00b25206"/>
    <w:pPr>
      <w:spacing w:after="0" w:line="240" w:lineRule="auto"/>
    </w:pPr>
    <w:tblPr>
      <w:tblStyleRowBandSize w:val="1"/>
      <w:tblStyleColBandSize w:val="1"/>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blStylePr w:type="firstRow">
      <w:rPr>
        <w:b/>
        <w:bCs/>
      </w:rPr>
      <w:tblPr/>
      <w:tcPr>
        <w:tcBorders>
          <w:bottom w:val="single" w:color="8EAADB" w:themeColor="accent5" w:sz="12" w:space="0"/>
        </w:tcBorders>
      </w:tcPr>
    </w:tblStylePr>
    <w:tblStylePr w:type="lastRow">
      <w:rPr>
        <w:b/>
        <w:bCs/>
      </w:rPr>
      <w:tblPr/>
      <w:tcPr>
        <w:tcBorders>
          <w:top w:val="double" w:color="8EAADB" w:themeColor="accent5" w:sz="2" w:space="0"/>
        </w:tcBorders>
      </w:tcPr>
    </w:tblStylePr>
    <w:tblStylePr w:type="firstCol">
      <w:rPr>
        <w:b/>
        <w:bCs/>
      </w:rPr>
      <w:tblPr/>
    </w:tblStylePr>
    <w:tblStylePr w:type="lastCol">
      <w:rPr>
        <w:b/>
        <w:bCs/>
      </w:rPr>
      <w:tblPr/>
    </w:tblStyle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pPr>
      <w:spacing w:after="0" w:line="240" w:lineRule="auto"/>
    </w:pPr>
    <w:tblPr>
      <w:tblStyleRowBandSize w:val="1"/>
      <w:tblStyleColBandSize w:val="1"/>
    </w:tblPr>
    <w:tblStylePr w:type="firstRow">
      <w:rPr>
        <w:b/>
      </w:rPr>
      <w:tblPr/>
      <w:tcPr>
        <w:tcBorders>
          <w:bottom w:val="single" w:color="8EAADB" w:sz="12" w:space="0"/>
        </w:tcBorders>
      </w:tcPr>
    </w:tblStylePr>
    <w:tblStylePr w:type="lastRow">
      <w:rPr>
        <w:b/>
      </w:rPr>
      <w:tblPr/>
      <w:tcPr>
        <w:tcBorders>
          <w:top w:val="single" w:color="8EAADB" w:sz="4" w:space="0"/>
        </w:tcBorders>
      </w:tcPr>
    </w:tblStylePr>
    <w:tblStylePr w:type="firstCol">
      <w:rPr>
        <w:b/>
      </w:rPr>
      <w:tblPr/>
    </w:tblStylePr>
    <w:tblStylePr w:type="lastCol">
      <w:rPr>
        <w:b/>
      </w:rPr>
      <w:tblPr/>
    </w:tblStylePr>
  </w:style>
  <w:style w:type="table" w:customStyle="1" w:styleId="5">
    <w:name w:val="5"/>
    <w:basedOn w:val="TableNormal"/>
    <w:pPr>
      <w:spacing w:after="0" w:line="240" w:lineRule="auto"/>
    </w:pPr>
    <w:tblPr>
      <w:tblStyleRowBandSize w:val="1"/>
      <w:tblStyleColBandSize w:val="1"/>
    </w:tblPr>
    <w:tblStylePr w:type="firstRow">
      <w:rPr>
        <w:b/>
      </w:rPr>
      <w:tblPr/>
      <w:tcPr>
        <w:tcBorders>
          <w:bottom w:val="single" w:color="8EAADB" w:sz="12" w:space="0"/>
        </w:tcBorders>
      </w:tcPr>
    </w:tblStylePr>
    <w:tblStylePr w:type="lastRow">
      <w:rPr>
        <w:b/>
      </w:rPr>
      <w:tblPr/>
      <w:tcPr>
        <w:tcBorders>
          <w:top w:val="single" w:color="8EAADB" w:sz="4" w:space="0"/>
        </w:tcBorders>
      </w:tcPr>
    </w:tblStylePr>
    <w:tblStylePr w:type="firstCol">
      <w:rPr>
        <w:b/>
      </w:rPr>
      <w:tblPr/>
    </w:tblStylePr>
    <w:tblStylePr w:type="lastCol">
      <w:rPr>
        <w:b/>
      </w:rPr>
      <w:tblPr/>
    </w:tblStyle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Pr>
  </w:style>
  <w:style w:type="table" w:customStyle="1" w:styleId="2">
    <w:name w:val="2"/>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table" w:customStyle="1" w:styleId="PlainTable11">
    <w:name w:val="Plain Table 11"/>
    <w:basedOn w:val="TableNormal"/>
    <w:uiPriority w:val="41"/>
    <w:rsid w:val="00c23c9a"/>
    <w:pPr>
      <w:spacing w:after="0" w:line="240" w:lineRule="auto"/>
    </w:pPr>
    <w:rPr>
      <w:rFonts w:asciiTheme="minorHAnsi" w:hAnsiTheme="minorHAnsi" w:eastAsiaTheme="minorHAnsi" w:cstheme="minorBidi"/>
      <w:lang w:val="en-US" w:eastAsia="en-US"/>
    </w:rPr>
    <w:tblPr>
      <w:tblStyleRowBandSize w:val="1"/>
      <w:tblStyleColBandSize w:val="1"/>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tblStylePr w:type="firstRow">
      <w:rPr>
        <w:b/>
        <w:bCs/>
      </w:rPr>
      <w:tblPr/>
    </w:tblStylePr>
    <w:tblStylePr w:type="lastRow">
      <w:rPr>
        <w:b/>
        <w:bCs/>
      </w:rPr>
      <w:tblPr/>
      <w:tcPr>
        <w:tcBorders>
          <w:top w:val="double" w:color="BFBFB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header" Target="header2.xml"/><Relationship Id="rId4" Type="http://schemas.openxmlformats.org/officeDocument/2006/relationships/header" Target="header3.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header" Target="header4.xml"/><Relationship Id="rId9" Type="http://schemas.openxmlformats.org/officeDocument/2006/relationships/header" Target="header5.xml"/><Relationship Id="rId10" Type="http://schemas.openxmlformats.org/officeDocument/2006/relationships/header" Target="header6.xml"/><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footer" Target="footer6.xml"/><Relationship Id="rId14" Type="http://schemas.openxmlformats.org/officeDocument/2006/relationships/hyperlink" Target="https://www.mgsi.gov.rs/" TargetMode="External"/><Relationship Id="rId15" Type="http://schemas.openxmlformats.org/officeDocument/2006/relationships/hyperlink" Target="https://www.mgsi.gov.rs/" TargetMode="External"/><Relationship Id="rId16" Type="http://schemas.openxmlformats.org/officeDocument/2006/relationships/hyperlink" Target="https://www.dimitrovgrad.rs/" TargetMode="External"/><Relationship Id="rId17" Type="http://schemas.openxmlformats.org/officeDocument/2006/relationships/header" Target="header7.xml"/><Relationship Id="rId18" Type="http://schemas.openxmlformats.org/officeDocument/2006/relationships/header" Target="header8.xml"/><Relationship Id="rId19" Type="http://schemas.openxmlformats.org/officeDocument/2006/relationships/header" Target="header9.xml"/><Relationship Id="rId20" Type="http://schemas.openxmlformats.org/officeDocument/2006/relationships/footer" Target="footer7.xml"/><Relationship Id="rId21" Type="http://schemas.openxmlformats.org/officeDocument/2006/relationships/footer" Target="footer8.xml"/><Relationship Id="rId22" Type="http://schemas.openxmlformats.org/officeDocument/2006/relationships/footer" Target="footer9.xml"/><Relationship Id="rId23" Type="http://schemas.openxmlformats.org/officeDocument/2006/relationships/header" Target="header10.xml"/><Relationship Id="rId24" Type="http://schemas.openxmlformats.org/officeDocument/2006/relationships/header" Target="header11.xml"/><Relationship Id="rId25" Type="http://schemas.openxmlformats.org/officeDocument/2006/relationships/header" Target="header12.xml"/><Relationship Id="rId26" Type="http://schemas.openxmlformats.org/officeDocument/2006/relationships/footer" Target="footer10.xml"/><Relationship Id="rId27" Type="http://schemas.openxmlformats.org/officeDocument/2006/relationships/footer" Target="footer11.xml"/><Relationship Id="rId28" Type="http://schemas.openxmlformats.org/officeDocument/2006/relationships/footer" Target="footer12.xml"/><Relationship Id="rId29" Type="http://schemas.openxmlformats.org/officeDocument/2006/relationships/hyperlink" Target="mailto:office@dimitrovgrad.rs" TargetMode="External"/><Relationship Id="rId30" Type="http://schemas.openxmlformats.org/officeDocument/2006/relationships/header" Target="header13.xml"/><Relationship Id="rId31" Type="http://schemas.openxmlformats.org/officeDocument/2006/relationships/header" Target="header14.xml"/><Relationship Id="rId32" Type="http://schemas.openxmlformats.org/officeDocument/2006/relationships/header" Target="header15.xml"/><Relationship Id="rId33" Type="http://schemas.openxmlformats.org/officeDocument/2006/relationships/footer" Target="footer13.xml"/><Relationship Id="rId34" Type="http://schemas.openxmlformats.org/officeDocument/2006/relationships/footer" Target="footer14.xml"/><Relationship Id="rId35" Type="http://schemas.openxmlformats.org/officeDocument/2006/relationships/footer" Target="footer15.xml"/><Relationship Id="rId36" Type="http://schemas.openxmlformats.org/officeDocument/2006/relationships/hyperlink" Target="mailto:liid.zalbe@mgsi.gov.rs" TargetMode="External"/><Relationship Id="rId37" Type="http://schemas.openxmlformats.org/officeDocument/2006/relationships/header" Target="header16.xml"/><Relationship Id="rId38" Type="http://schemas.openxmlformats.org/officeDocument/2006/relationships/header" Target="header17.xml"/><Relationship Id="rId39" Type="http://schemas.openxmlformats.org/officeDocument/2006/relationships/header" Target="header18.xml"/><Relationship Id="rId40" Type="http://schemas.openxmlformats.org/officeDocument/2006/relationships/footer" Target="footer16.xml"/><Relationship Id="rId41" Type="http://schemas.openxmlformats.org/officeDocument/2006/relationships/footer" Target="footer17.xml"/><Relationship Id="rId42" Type="http://schemas.openxmlformats.org/officeDocument/2006/relationships/footer" Target="footer18.xml"/><Relationship Id="rId43" Type="http://schemas.openxmlformats.org/officeDocument/2006/relationships/image" Target="media/image1.png"/><Relationship Id="rId44" Type="http://schemas.openxmlformats.org/officeDocument/2006/relationships/header" Target="header19.xml"/><Relationship Id="rId45" Type="http://schemas.openxmlformats.org/officeDocument/2006/relationships/header" Target="header20.xml"/><Relationship Id="rId46" Type="http://schemas.openxmlformats.org/officeDocument/2006/relationships/header" Target="header21.xml"/><Relationship Id="rId47" Type="http://schemas.openxmlformats.org/officeDocument/2006/relationships/footer" Target="footer19.xml"/><Relationship Id="rId48" Type="http://schemas.openxmlformats.org/officeDocument/2006/relationships/footer" Target="footer20.xml"/><Relationship Id="rId49" Type="http://schemas.openxmlformats.org/officeDocument/2006/relationships/footer" Target="footer21.xml"/><Relationship Id="rId50" Type="http://schemas.openxmlformats.org/officeDocument/2006/relationships/numbering" Target="numbering.xml"/><Relationship Id="rId51" Type="http://schemas.openxmlformats.org/officeDocument/2006/relationships/fontTable" Target="fontTable.xml"/><Relationship Id="rId52" Type="http://schemas.openxmlformats.org/officeDocument/2006/relationships/settings" Target="settings.xml"/><Relationship Id="rId53" Type="http://schemas.openxmlformats.org/officeDocument/2006/relationships/theme" Target="theme/theme1.xml"/><Relationship Id="rId54"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Relationship Id="rId33" Type="http://schemas.openxmlformats.org/officeDocument/2006/relationships/font" Target="fonts/font33.odttf"/><Relationship Id="rId34" Type="http://schemas.openxmlformats.org/officeDocument/2006/relationships/font" Target="fonts/font34.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itchFamily="0" charset="1"/>
        <a:ea typeface=""/>
        <a:cs typeface=""/>
      </a:majorFont>
      <a:minorFont>
        <a:latin typeface="Calibri"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jqMQYWnpZKrYe/W8IKNMN+0TmZBA==">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yCGguZ2pkZ3hzMgloLjMwajB6bGwyCWguMWZvYjl0ZTIJaC4zem55c2g3MgloLjJldDkycDAyCGgudHlqY3d0MgloLjNkeTZ2a20yCWguMXQzaDVzZjIJaC40ZDM0b2c4MgloLjJzOGV5bzEyCWguMTdkcDh2dTIJaC4zcmRjcmpuMgloLjI2aW4xcmcyCGgubG54Yno5MgloLjM1bmt1bjIyCWguMWtzdjR1djIJaC40NHNpbmlvMgloLjJqeHN4cWgyCGguejMzN3lhOAByITFYVjNSb2ZORHMwbmd5amlrcmZxOHByUmxDbHZYbHBHY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TotalTime>
  <Application>LibreOffice/25.2.7.2$Windows_X86_64 LibreOffice_project/5cbfd1ab6520636bb5f7b99185aa69bd7456825d</Application>
  <AppVersion>15.0000</AppVersion>
  <Pages>27</Pages>
  <Words>4760</Words>
  <Characters>30851</Characters>
  <CharactersWithSpaces>35159</CharactersWithSpaces>
  <Paragraphs>579</Paragraphs>
  <Company>test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2026-02-25T08:44:00Z</dcterms:created>
  <dc:creator>Windows User</dc:creator>
  <dc:description/>
  <dc:language>en-GB</dc:language>
  <cp:lastModifiedBy/>
  <dcterms:modified xsi:type="dcterms:W3CDTF">2026-02-25T13:35:01Z</dcterms:modified>
  <cp:revision>5</cp:revision>
  <dc:subject/>
  <dc:title/>
</cp:coreProperties>
</file>

<file path=docProps/custom.xml><?xml version="1.0" encoding="utf-8"?>
<Properties xmlns="http://schemas.openxmlformats.org/officeDocument/2006/custom-properties" xmlns:vt="http://schemas.openxmlformats.org/officeDocument/2006/docPropsVTypes"/>
</file>